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79A0" w14:textId="36005D2E" w:rsidR="003147B3" w:rsidRDefault="00D7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Midgley, myopia, and metaphilosophy</w:t>
      </w:r>
    </w:p>
    <w:p w14:paraId="4703733F" w14:textId="35CE20D8" w:rsidR="00D72FB1" w:rsidRDefault="00D72F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FB1">
        <w:rPr>
          <w:rFonts w:ascii="Times New Roman" w:hAnsi="Times New Roman" w:cs="Times New Roman"/>
          <w:i/>
          <w:iCs/>
          <w:sz w:val="24"/>
          <w:szCs w:val="24"/>
        </w:rPr>
        <w:t>Wartime Quartet, Durham, 9/6/23</w:t>
      </w:r>
    </w:p>
    <w:p w14:paraId="3FCEDD8E" w14:textId="7E165751" w:rsidR="00D72FB1" w:rsidRDefault="00D72F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9873E5" w14:textId="752AE2EB" w:rsidR="00D72FB1" w:rsidRPr="00D72FB1" w:rsidRDefault="00D72FB1" w:rsidP="00D7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FB1">
        <w:rPr>
          <w:rFonts w:ascii="Times New Roman" w:hAnsi="Times New Roman" w:cs="Times New Roman"/>
          <w:b/>
          <w:bCs/>
          <w:sz w:val="24"/>
          <w:szCs w:val="24"/>
        </w:rPr>
        <w:t>Preliminaries</w:t>
      </w:r>
      <w:r w:rsidRPr="00D72FB1">
        <w:rPr>
          <w:rFonts w:ascii="Times New Roman" w:hAnsi="Times New Roman" w:cs="Times New Roman"/>
          <w:sz w:val="24"/>
          <w:szCs w:val="24"/>
        </w:rPr>
        <w:t>.</w:t>
      </w:r>
    </w:p>
    <w:p w14:paraId="3461EB77" w14:textId="1FC70858" w:rsidR="00D72FB1" w:rsidRDefault="00D72FB1" w:rsidP="00D7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Abiding theme of Midgley’s work is opposition to kinds of </w:t>
      </w:r>
      <w:r w:rsidRPr="00D72FB1">
        <w:rPr>
          <w:rFonts w:ascii="Times New Roman" w:hAnsi="Times New Roman" w:cs="Times New Roman"/>
          <w:b/>
          <w:bCs/>
          <w:sz w:val="24"/>
          <w:szCs w:val="24"/>
        </w:rPr>
        <w:t>myopic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FB1">
        <w:rPr>
          <w:rFonts w:ascii="Times New Roman" w:hAnsi="Times New Roman" w:cs="Times New Roman"/>
          <w:b/>
          <w:bCs/>
          <w:sz w:val="24"/>
          <w:szCs w:val="24"/>
        </w:rPr>
        <w:t>thinking</w:t>
      </w:r>
      <w:r>
        <w:rPr>
          <w:rFonts w:ascii="Times New Roman" w:hAnsi="Times New Roman" w:cs="Times New Roman"/>
          <w:sz w:val="24"/>
          <w:szCs w:val="24"/>
        </w:rPr>
        <w:t xml:space="preserve"> – ‘to resist crude, oversimplified doctrines that continually narrow our options’ (OM 120):</w:t>
      </w:r>
    </w:p>
    <w:p w14:paraId="3197CBAC" w14:textId="788C28FD" w:rsidR="00D72FB1" w:rsidRDefault="00D72FB1" w:rsidP="00D72F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selection of ‘targets’ and (ii) patterns of appreciation / praise</w:t>
      </w:r>
    </w:p>
    <w:p w14:paraId="4D9ADE7A" w14:textId="02771325" w:rsidR="00D72FB1" w:rsidRDefault="00D72FB1" w:rsidP="00D72F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methodological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FB1">
        <w:rPr>
          <w:rFonts w:ascii="Times New Roman" w:hAnsi="Times New Roman" w:cs="Times New Roman"/>
          <w:sz w:val="24"/>
          <w:szCs w:val="24"/>
        </w:rPr>
        <w:t>charac</w:t>
      </w:r>
      <w:r>
        <w:rPr>
          <w:rFonts w:ascii="Times New Roman" w:hAnsi="Times New Roman" w:cs="Times New Roman"/>
          <w:sz w:val="24"/>
          <w:szCs w:val="24"/>
        </w:rPr>
        <w:t>teristic strategies and ‘ways of thinking’</w:t>
      </w:r>
    </w:p>
    <w:p w14:paraId="2D262997" w14:textId="4E70200D" w:rsidR="00D72FB1" w:rsidRDefault="00D72FB1" w:rsidP="00D72F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aspirational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appreciation of ‘many-sidedness’ and ‘unity’ of human life</w:t>
      </w:r>
    </w:p>
    <w:p w14:paraId="61D7CF68" w14:textId="14F30C99" w:rsidR="00D72FB1" w:rsidRPr="00D72FB1" w:rsidRDefault="00D72FB1" w:rsidP="00D72F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Anti-myopia central to Midgley’s conception of philosophy as ‘the art of connecting things’ (WWN 227) – expansive and integrative – ‘mapping the complex world’ (WPF 44ff).</w:t>
      </w:r>
    </w:p>
    <w:p w14:paraId="4A3F7243" w14:textId="7F0F43FC" w:rsidR="00D72FB1" w:rsidRDefault="00D72FB1" w:rsidP="00D72F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01DFA" w14:textId="1BAAD30C" w:rsidR="00D72FB1" w:rsidRDefault="00D72FB1" w:rsidP="00D72F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Myopia.</w:t>
      </w:r>
    </w:p>
    <w:p w14:paraId="036F2C29" w14:textId="67AE709F" w:rsidR="00D72FB1" w:rsidRDefault="002822B0" w:rsidP="00D7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72FB1" w:rsidRPr="00D72FB1">
        <w:rPr>
          <w:rFonts w:ascii="Times New Roman" w:hAnsi="Times New Roman" w:cs="Times New Roman"/>
          <w:b/>
          <w:bCs/>
          <w:sz w:val="24"/>
          <w:szCs w:val="24"/>
        </w:rPr>
        <w:t>Myopia</w:t>
      </w:r>
      <w:r w:rsidR="00D72FB1">
        <w:rPr>
          <w:rFonts w:ascii="Times New Roman" w:hAnsi="Times New Roman" w:cs="Times New Roman"/>
          <w:sz w:val="24"/>
          <w:szCs w:val="24"/>
        </w:rPr>
        <w:t>: an artificially limited, confined perception and understanding of a given topic or even of the whole world (cf. everyday senses – ‘blinkered’, ‘narrowminded).</w:t>
      </w:r>
    </w:p>
    <w:p w14:paraId="02541BD4" w14:textId="1B5323BF" w:rsidR="00D72FB1" w:rsidRDefault="00D72FB1" w:rsidP="00D7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Dimensions:</w:t>
      </w:r>
    </w:p>
    <w:p w14:paraId="2696EE6F" w14:textId="4F02E765" w:rsidR="00D72FB1" w:rsidRPr="00D72FB1" w:rsidRDefault="00D72FB1" w:rsidP="00D72F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B1">
        <w:rPr>
          <w:rFonts w:ascii="Times New Roman" w:hAnsi="Times New Roman" w:cs="Times New Roman"/>
          <w:b/>
          <w:bCs/>
          <w:sz w:val="24"/>
          <w:szCs w:val="24"/>
        </w:rPr>
        <w:t>narrowness</w:t>
      </w:r>
      <w:r w:rsidRPr="00D72FB1">
        <w:rPr>
          <w:rFonts w:ascii="Times New Roman" w:hAnsi="Times New Roman" w:cs="Times New Roman"/>
          <w:sz w:val="24"/>
          <w:szCs w:val="24"/>
        </w:rPr>
        <w:tab/>
        <w:t xml:space="preserve">lack of salient kinds of </w:t>
      </w:r>
      <w:r w:rsidRPr="00D72FB1">
        <w:rPr>
          <w:rFonts w:ascii="Times New Roman" w:hAnsi="Times New Roman" w:cs="Times New Roman"/>
          <w:i/>
          <w:iCs/>
          <w:sz w:val="24"/>
          <w:szCs w:val="24"/>
        </w:rPr>
        <w:t>breadth</w:t>
      </w:r>
    </w:p>
    <w:p w14:paraId="41AB47AC" w14:textId="511CBFF7" w:rsidR="00D72FB1" w:rsidRPr="00D72FB1" w:rsidRDefault="00D72FB1" w:rsidP="00D72F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B1">
        <w:rPr>
          <w:rFonts w:ascii="Times New Roman" w:hAnsi="Times New Roman" w:cs="Times New Roman"/>
          <w:b/>
          <w:bCs/>
          <w:sz w:val="24"/>
          <w:szCs w:val="24"/>
        </w:rPr>
        <w:t>shallowness</w:t>
      </w:r>
      <w:r w:rsidRPr="00D72FB1">
        <w:rPr>
          <w:rFonts w:ascii="Times New Roman" w:hAnsi="Times New Roman" w:cs="Times New Roman"/>
          <w:sz w:val="24"/>
          <w:szCs w:val="24"/>
        </w:rPr>
        <w:tab/>
        <w:t xml:space="preserve">lack of salient kinds of </w:t>
      </w:r>
      <w:r w:rsidRPr="00D72FB1">
        <w:rPr>
          <w:rFonts w:ascii="Times New Roman" w:hAnsi="Times New Roman" w:cs="Times New Roman"/>
          <w:i/>
          <w:iCs/>
          <w:sz w:val="24"/>
          <w:szCs w:val="24"/>
        </w:rPr>
        <w:t>depth</w:t>
      </w:r>
    </w:p>
    <w:p w14:paraId="169C444E" w14:textId="5A5F8C7D" w:rsidR="00D72FB1" w:rsidRDefault="00D72FB1" w:rsidP="00D7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Myopia </w:t>
      </w:r>
      <w:r w:rsidR="00D7624A">
        <w:rPr>
          <w:rFonts w:ascii="Times New Roman" w:hAnsi="Times New Roman" w:cs="Times New Roman"/>
          <w:sz w:val="24"/>
          <w:szCs w:val="24"/>
        </w:rPr>
        <w:t>limits</w:t>
      </w:r>
      <w:r>
        <w:rPr>
          <w:rFonts w:ascii="Times New Roman" w:hAnsi="Times New Roman" w:cs="Times New Roman"/>
          <w:sz w:val="24"/>
          <w:szCs w:val="24"/>
        </w:rPr>
        <w:t xml:space="preserve"> (i) the </w:t>
      </w:r>
      <w:r>
        <w:rPr>
          <w:rFonts w:ascii="Times New Roman" w:hAnsi="Times New Roman" w:cs="Times New Roman"/>
          <w:i/>
          <w:iCs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of epistemic possibilities a person can experience and (ii) their ways of responding to those possibilities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aggressively adversarial philosophers).</w:t>
      </w:r>
    </w:p>
    <w:p w14:paraId="664CF35D" w14:textId="36C2F7E7" w:rsidR="002822B0" w:rsidRDefault="002822B0" w:rsidP="00D72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Comments on myopia:</w:t>
      </w:r>
    </w:p>
    <w:p w14:paraId="54337239" w14:textId="36E119CF" w:rsidR="002822B0" w:rsidRDefault="002822B0" w:rsidP="002822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in different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degrees</w:t>
      </w:r>
    </w:p>
    <w:p w14:paraId="1672445C" w14:textId="77DF554A" w:rsidR="002822B0" w:rsidRDefault="002822B0" w:rsidP="002822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a feature of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collectives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institutions</w:t>
      </w:r>
    </w:p>
    <w:p w14:paraId="17B698B4" w14:textId="366987C9" w:rsidR="00D72FB1" w:rsidRDefault="002822B0" w:rsidP="0028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Caveats: </w:t>
      </w:r>
      <w:r w:rsidRPr="002822B0">
        <w:rPr>
          <w:rFonts w:ascii="Times New Roman" w:hAnsi="Times New Roman" w:cs="Times New Roman"/>
          <w:sz w:val="24"/>
          <w:szCs w:val="24"/>
        </w:rPr>
        <w:t xml:space="preserve">narrowness and shallowness are not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always</w:t>
      </w:r>
      <w:r w:rsidRPr="002822B0">
        <w:rPr>
          <w:rFonts w:ascii="Times New Roman" w:hAnsi="Times New Roman" w:cs="Times New Roman"/>
          <w:sz w:val="24"/>
          <w:szCs w:val="24"/>
        </w:rPr>
        <w:t xml:space="preserve"> bad – depends on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motivations</w:t>
      </w:r>
      <w:r w:rsidRPr="002822B0">
        <w:rPr>
          <w:rFonts w:ascii="Times New Roman" w:hAnsi="Times New Roman" w:cs="Times New Roman"/>
          <w:sz w:val="24"/>
          <w:szCs w:val="24"/>
        </w:rPr>
        <w:t xml:space="preserve"> and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 xml:space="preserve"> and they can in specific cases be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useful</w:t>
      </w:r>
      <w:r>
        <w:rPr>
          <w:rFonts w:ascii="Times New Roman" w:hAnsi="Times New Roman" w:cs="Times New Roman"/>
          <w:sz w:val="24"/>
          <w:szCs w:val="24"/>
        </w:rPr>
        <w:t xml:space="preserve"> – ‘effective moral reformers almost necessarily are one-sided’ (SS 135).</w:t>
      </w:r>
    </w:p>
    <w:p w14:paraId="098AFDCB" w14:textId="475CD103" w:rsidR="002822B0" w:rsidRDefault="002822B0" w:rsidP="0028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Qualifications:</w:t>
      </w:r>
    </w:p>
    <w:p w14:paraId="3B423582" w14:textId="77777777" w:rsidR="002822B0" w:rsidRDefault="002822B0" w:rsidP="002822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resisting myopia requires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– and certain </w:t>
      </w:r>
      <w:r w:rsidRPr="002822B0">
        <w:rPr>
          <w:rFonts w:ascii="Times New Roman" w:hAnsi="Times New Roman" w:cs="Times New Roman"/>
          <w:i/>
          <w:iCs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of work </w:t>
      </w:r>
    </w:p>
    <w:p w14:paraId="3A11F2AA" w14:textId="77777777" w:rsidR="00D7624A" w:rsidRDefault="00D7624A" w:rsidP="002822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encouraged by certain theoretical doctrines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scientism as myopia (Kidd)</w:t>
      </w:r>
    </w:p>
    <w:p w14:paraId="4ECB4A7D" w14:textId="488EAF5B" w:rsidR="002822B0" w:rsidRDefault="002822B0" w:rsidP="002822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kinds of myopia are encouraged by entrenched features of our world (Midgley on invidious ‘myths we live by’ – </w:t>
      </w:r>
      <w:proofErr w:type="spellStart"/>
      <w:proofErr w:type="gramStart"/>
      <w:r w:rsidR="00D7624A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="00D7624A">
        <w:rPr>
          <w:rFonts w:ascii="Times New Roman" w:hAnsi="Times New Roman" w:cs="Times New Roman"/>
          <w:sz w:val="24"/>
          <w:szCs w:val="24"/>
        </w:rPr>
        <w:t xml:space="preserve"> ideologies of hyper-</w:t>
      </w:r>
      <w:r>
        <w:rPr>
          <w:rFonts w:ascii="Times New Roman" w:hAnsi="Times New Roman" w:cs="Times New Roman"/>
          <w:sz w:val="24"/>
          <w:szCs w:val="24"/>
        </w:rPr>
        <w:t>individualism)</w:t>
      </w:r>
    </w:p>
    <w:p w14:paraId="5F6009CE" w14:textId="2C06CBE3" w:rsidR="002822B0" w:rsidRDefault="002822B0" w:rsidP="002822B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myopic has many attractions and cognitive and social functions</w:t>
      </w:r>
    </w:p>
    <w:p w14:paraId="157C84F9" w14:textId="1BC88554" w:rsidR="002822B0" w:rsidRDefault="002822B0" w:rsidP="0028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Midgley’s constant references to </w:t>
      </w:r>
      <w:r w:rsidRPr="002822B0">
        <w:rPr>
          <w:rFonts w:ascii="Times New Roman" w:hAnsi="Times New Roman" w:cs="Times New Roman"/>
          <w:sz w:val="24"/>
          <w:szCs w:val="24"/>
        </w:rPr>
        <w:t>‘the lure of Reduction’ – our inability to accept ‘the world simply is not simple’ (M xiii, 39) – a double-headed dogmatism about ‘intellectual schemes’ (ER 175ff)</w:t>
      </w:r>
      <w:r>
        <w:rPr>
          <w:rFonts w:ascii="Times New Roman" w:hAnsi="Times New Roman" w:cs="Times New Roman"/>
          <w:sz w:val="24"/>
          <w:szCs w:val="24"/>
        </w:rPr>
        <w:t>. Philosophy – done well – should help us resist these ‘lures’ (cf. Murdoch).</w:t>
      </w:r>
    </w:p>
    <w:p w14:paraId="76AFB464" w14:textId="7162BDB2" w:rsidR="002822B0" w:rsidRPr="002822B0" w:rsidRDefault="002822B0" w:rsidP="0028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Anti-myopia is also a Quartet theme – see Lipscombe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MacCumhaill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Wiseman</w:t>
      </w:r>
    </w:p>
    <w:p w14:paraId="212DC01F" w14:textId="28CA02CD" w:rsidR="002822B0" w:rsidRDefault="000C5CF5" w:rsidP="000C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Myopia and animals.</w:t>
      </w:r>
    </w:p>
    <w:p w14:paraId="68DA3CB9" w14:textId="38090FF3" w:rsidR="000C5CF5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Myopia as a theme is more tractable with specific cases: </w:t>
      </w:r>
      <w:r>
        <w:rPr>
          <w:rFonts w:ascii="Times New Roman" w:hAnsi="Times New Roman" w:cs="Times New Roman"/>
          <w:b/>
          <w:bCs/>
          <w:sz w:val="24"/>
          <w:szCs w:val="24"/>
        </w:rPr>
        <w:t>animal ethics</w:t>
      </w:r>
      <w:r>
        <w:rPr>
          <w:rFonts w:ascii="Times New Roman" w:hAnsi="Times New Roman" w:cs="Times New Roman"/>
          <w:sz w:val="24"/>
          <w:szCs w:val="24"/>
        </w:rPr>
        <w:t>. Midgley’s aspiration to ‘remove the barriers … erected against concern for animals’ (A 144).</w:t>
      </w:r>
    </w:p>
    <w:p w14:paraId="4EB5B3BE" w14:textId="1D491F93" w:rsidR="000C5CF5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Cooper distinguishes two interconnected themes:</w:t>
      </w:r>
    </w:p>
    <w:p w14:paraId="194D115D" w14:textId="3772789E" w:rsidR="000C5CF5" w:rsidRDefault="000C5CF5" w:rsidP="000C5C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24A">
        <w:rPr>
          <w:rFonts w:ascii="Times New Roman" w:hAnsi="Times New Roman" w:cs="Times New Roman"/>
          <w:i/>
          <w:iCs/>
          <w:sz w:val="24"/>
          <w:szCs w:val="24"/>
        </w:rPr>
        <w:t>epistemological</w:t>
      </w:r>
      <w:r>
        <w:rPr>
          <w:rFonts w:ascii="Times New Roman" w:hAnsi="Times New Roman" w:cs="Times New Roman"/>
          <w:sz w:val="24"/>
          <w:szCs w:val="24"/>
        </w:rPr>
        <w:tab/>
        <w:t>rejection of behaviourism, ‘ritual scepticism’</w:t>
      </w:r>
    </w:p>
    <w:p w14:paraId="328E8FFE" w14:textId="61FC9C62" w:rsidR="000C5CF5" w:rsidRPr="000C5CF5" w:rsidRDefault="000C5CF5" w:rsidP="000C5C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24A">
        <w:rPr>
          <w:rFonts w:ascii="Times New Roman" w:hAnsi="Times New Roman" w:cs="Times New Roman"/>
          <w:i/>
          <w:iCs/>
          <w:sz w:val="24"/>
          <w:szCs w:val="24"/>
        </w:rPr>
        <w:t>ethical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rejection of mainstream approaches in animal ethics (util, status)</w:t>
      </w:r>
    </w:p>
    <w:p w14:paraId="1913BC44" w14:textId="45CC4102" w:rsidR="002822B0" w:rsidRDefault="002822B0" w:rsidP="00282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6D147" w14:textId="2482E0EE" w:rsidR="000C5CF5" w:rsidRPr="000C5CF5" w:rsidRDefault="000C5CF5" w:rsidP="000C5C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CF5">
        <w:rPr>
          <w:rFonts w:ascii="Times New Roman" w:hAnsi="Times New Roman" w:cs="Times New Roman"/>
          <w:b/>
          <w:bCs/>
          <w:sz w:val="24"/>
          <w:szCs w:val="24"/>
        </w:rPr>
        <w:t>Behaviourism/scepticism</w:t>
      </w:r>
      <w:r w:rsidR="00141D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24BCBD" w14:textId="0E6218CE" w:rsidR="002822B0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Core idea: ‘the subjective feelings [and mental life] of animals are … quite hidden from us, cannot concern us, and may not even exist’ (A 115).</w:t>
      </w:r>
    </w:p>
    <w:p w14:paraId="645E5699" w14:textId="79C3E1AE" w:rsidR="000C5CF5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Several kinds of mutually-reinforcing myopia</w:t>
      </w:r>
      <w:r w:rsidR="00157AA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including:</w:t>
      </w:r>
    </w:p>
    <w:p w14:paraId="114E56F9" w14:textId="3A5A573F" w:rsidR="000C5CF5" w:rsidRPr="00D7624A" w:rsidRDefault="000C5CF5" w:rsidP="00D7624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CF5">
        <w:rPr>
          <w:rFonts w:ascii="Times New Roman" w:hAnsi="Times New Roman" w:cs="Times New Roman"/>
          <w:i/>
          <w:iCs/>
          <w:sz w:val="24"/>
          <w:szCs w:val="24"/>
        </w:rPr>
        <w:t>empirically narrow</w:t>
      </w:r>
      <w:r w:rsidR="00D7624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24A">
        <w:rPr>
          <w:rFonts w:ascii="Times New Roman" w:hAnsi="Times New Roman" w:cs="Times New Roman"/>
          <w:sz w:val="24"/>
          <w:szCs w:val="24"/>
        </w:rPr>
        <w:t xml:space="preserve">animals in </w:t>
      </w:r>
      <w:r w:rsidR="00D7624A" w:rsidRPr="00D7624A">
        <w:rPr>
          <w:rFonts w:ascii="Times New Roman" w:hAnsi="Times New Roman" w:cs="Times New Roman"/>
          <w:sz w:val="24"/>
          <w:szCs w:val="24"/>
        </w:rPr>
        <w:t>labs</w:t>
      </w:r>
      <w:r w:rsidRPr="00D7624A">
        <w:rPr>
          <w:rFonts w:ascii="Times New Roman" w:hAnsi="Times New Roman" w:cs="Times New Roman"/>
          <w:sz w:val="24"/>
          <w:szCs w:val="24"/>
        </w:rPr>
        <w:t xml:space="preserve">, ‘wells of despair’, </w:t>
      </w:r>
      <w:r w:rsidR="00D7624A" w:rsidRPr="00D7624A">
        <w:rPr>
          <w:rFonts w:ascii="Times New Roman" w:hAnsi="Times New Roman" w:cs="Times New Roman"/>
          <w:sz w:val="24"/>
          <w:szCs w:val="24"/>
        </w:rPr>
        <w:t xml:space="preserve">all </w:t>
      </w:r>
      <w:r w:rsidRPr="00D7624A">
        <w:rPr>
          <w:rFonts w:ascii="Times New Roman" w:hAnsi="Times New Roman" w:cs="Times New Roman"/>
          <w:sz w:val="24"/>
          <w:szCs w:val="24"/>
        </w:rPr>
        <w:t>highly circumscribed environments that bear little or no resemblance to actual environments (A 115).</w:t>
      </w:r>
    </w:p>
    <w:p w14:paraId="110AA663" w14:textId="36D1DFBB" w:rsidR="000C5CF5" w:rsidRPr="00D7624A" w:rsidRDefault="000C5CF5" w:rsidP="00D7624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hermeneutically narrow</w:t>
      </w:r>
      <w:r w:rsidR="00D7624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24A">
        <w:rPr>
          <w:rFonts w:ascii="Times New Roman" w:hAnsi="Times New Roman" w:cs="Times New Roman"/>
          <w:sz w:val="24"/>
          <w:szCs w:val="24"/>
        </w:rPr>
        <w:t xml:space="preserve">understanding animals as ‘predictive success’, excluding deeper senses of what it means to </w:t>
      </w:r>
      <w:r w:rsidRPr="00D7624A">
        <w:rPr>
          <w:rFonts w:ascii="Times New Roman" w:hAnsi="Times New Roman" w:cs="Times New Roman"/>
          <w:i/>
          <w:iCs/>
          <w:sz w:val="24"/>
          <w:szCs w:val="24"/>
        </w:rPr>
        <w:t>understand</w:t>
      </w:r>
      <w:r w:rsidRPr="00D7624A">
        <w:rPr>
          <w:rFonts w:ascii="Times New Roman" w:hAnsi="Times New Roman" w:cs="Times New Roman"/>
          <w:sz w:val="24"/>
          <w:szCs w:val="24"/>
        </w:rPr>
        <w:t xml:space="preserve"> the worlds of animals</w:t>
      </w:r>
      <w:r w:rsidR="00D7624A" w:rsidRPr="00D762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CE66F4" w14:textId="71E86415" w:rsidR="000C5CF5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Such myopia sustained by a ‘ritual scepticism’ that is ‘artificial, hollow’ (SW 157), occluding a wider range of experiences of and engagements with animals, in a wider range of contexts or environments, and </w:t>
      </w:r>
      <w:r w:rsidR="00D7624A">
        <w:rPr>
          <w:rFonts w:ascii="Times New Roman" w:hAnsi="Times New Roman" w:cs="Times New Roman"/>
          <w:sz w:val="24"/>
          <w:szCs w:val="24"/>
        </w:rPr>
        <w:t xml:space="preserve">forsakes </w:t>
      </w:r>
      <w:r>
        <w:rPr>
          <w:rFonts w:ascii="Times New Roman" w:hAnsi="Times New Roman" w:cs="Times New Roman"/>
          <w:sz w:val="24"/>
          <w:szCs w:val="24"/>
        </w:rPr>
        <w:t>deeper kinds of understanding (cf. James 38-64)</w:t>
      </w:r>
    </w:p>
    <w:p w14:paraId="331D0877" w14:textId="0F586C58" w:rsidR="000C5CF5" w:rsidRPr="000C5CF5" w:rsidRDefault="000C5CF5" w:rsidP="000C5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Diagnosing the myopia: thin conceptions of animals as ‘automata’, scientistic fixation on certain kinds of explanation, derogation of wider range of sources (cf. Hearne’s </w:t>
      </w:r>
      <w:r>
        <w:rPr>
          <w:rFonts w:ascii="Times New Roman" w:hAnsi="Times New Roman" w:cs="Times New Roman"/>
          <w:i/>
          <w:iCs/>
          <w:sz w:val="24"/>
          <w:szCs w:val="24"/>
        </w:rPr>
        <w:t>Adam’s Task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EDFC2A" w14:textId="3F8B80EA" w:rsidR="000C5CF5" w:rsidRDefault="000C5CF5" w:rsidP="00282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D629A" w14:textId="00F079F2" w:rsidR="000C5CF5" w:rsidRPr="000C5CF5" w:rsidRDefault="000C5CF5" w:rsidP="000C5C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CF5">
        <w:rPr>
          <w:rFonts w:ascii="Times New Roman" w:hAnsi="Times New Roman" w:cs="Times New Roman"/>
          <w:b/>
          <w:bCs/>
          <w:sz w:val="24"/>
          <w:szCs w:val="24"/>
        </w:rPr>
        <w:t>Moral status theories</w:t>
      </w:r>
      <w:r w:rsidR="00141D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352647" w14:textId="23857360" w:rsidR="000C5CF5" w:rsidRDefault="000C5CF5" w:rsidP="0028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Core idea: mistreatment of animals reflects failures to recognise the moral status or rights of animals – </w:t>
      </w:r>
      <w:r w:rsidR="00141DB3">
        <w:rPr>
          <w:rFonts w:ascii="Times New Roman" w:hAnsi="Times New Roman" w:cs="Times New Roman"/>
          <w:sz w:val="24"/>
          <w:szCs w:val="24"/>
        </w:rPr>
        <w:t xml:space="preserve">involving, </w:t>
      </w:r>
      <w:proofErr w:type="spellStart"/>
      <w:r w:rsidR="00141DB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41DB3">
        <w:rPr>
          <w:rFonts w:ascii="Times New Roman" w:hAnsi="Times New Roman" w:cs="Times New Roman"/>
          <w:sz w:val="24"/>
          <w:szCs w:val="24"/>
        </w:rPr>
        <w:t xml:space="preserve">, failures to recognise </w:t>
      </w:r>
      <w:r>
        <w:rPr>
          <w:rFonts w:ascii="Times New Roman" w:hAnsi="Times New Roman" w:cs="Times New Roman"/>
          <w:sz w:val="24"/>
          <w:szCs w:val="24"/>
        </w:rPr>
        <w:t xml:space="preserve">morally salient </w:t>
      </w:r>
      <w:r w:rsidR="00141DB3">
        <w:rPr>
          <w:rFonts w:ascii="Times New Roman" w:hAnsi="Times New Roman" w:cs="Times New Roman"/>
          <w:sz w:val="24"/>
          <w:szCs w:val="24"/>
        </w:rPr>
        <w:t>features of animals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sentience).</w:t>
      </w:r>
    </w:p>
    <w:p w14:paraId="02994B7D" w14:textId="46693D04" w:rsidR="00157AAC" w:rsidRDefault="00157AAC" w:rsidP="0015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Several kinds of mutually-reinforcing myopia – including:</w:t>
      </w:r>
    </w:p>
    <w:p w14:paraId="0000AFB3" w14:textId="51A7FCAC" w:rsidR="00157AAC" w:rsidRDefault="00157AAC" w:rsidP="00157AA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morally narrow</w:t>
      </w:r>
      <w:r>
        <w:rPr>
          <w:rFonts w:ascii="Times New Roman" w:hAnsi="Times New Roman" w:cs="Times New Roman"/>
          <w:sz w:val="24"/>
          <w:szCs w:val="24"/>
        </w:rPr>
        <w:t xml:space="preserve"> – concepts such as inequality and discrimination now ‘monopolise attention’ and occlude (i) virtues – ‘mercy and compassion’ and (ii) vices – ‘greed, meanness, envy, cowardice</w:t>
      </w:r>
      <w:r w:rsidR="00141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sloth’ (A 50).</w:t>
      </w:r>
    </w:p>
    <w:p w14:paraId="28C11FAE" w14:textId="77777777" w:rsidR="00157AAC" w:rsidRPr="00157AAC" w:rsidRDefault="00157AAC" w:rsidP="00157AAC">
      <w:pPr>
        <w:pStyle w:val="ListParagraph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14:paraId="1874E885" w14:textId="797E3393" w:rsidR="00157AAC" w:rsidRDefault="00157AAC" w:rsidP="00157AA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explanatorily narrow</w:t>
      </w:r>
      <w:r>
        <w:rPr>
          <w:rFonts w:ascii="Times New Roman" w:hAnsi="Times New Roman" w:cs="Times New Roman"/>
          <w:sz w:val="24"/>
          <w:szCs w:val="24"/>
        </w:rPr>
        <w:t xml:space="preserve"> – mistreatment of animals explained in terms of cognitive and rational failures (WF 21)</w:t>
      </w:r>
    </w:p>
    <w:p w14:paraId="5808EAC4" w14:textId="77777777" w:rsidR="00157AAC" w:rsidRPr="00157AAC" w:rsidRDefault="00157AAC" w:rsidP="00157AAC">
      <w:pPr>
        <w:pStyle w:val="ListParagraph"/>
        <w:rPr>
          <w:rFonts w:ascii="Times New Roman" w:hAnsi="Times New Roman" w:cs="Times New Roman"/>
          <w:i/>
          <w:iCs/>
          <w:sz w:val="10"/>
          <w:szCs w:val="10"/>
        </w:rPr>
      </w:pPr>
    </w:p>
    <w:p w14:paraId="6AFF25CF" w14:textId="184B3675" w:rsidR="00157AAC" w:rsidRPr="00157AAC" w:rsidRDefault="00157AAC" w:rsidP="00157AA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AAC">
        <w:rPr>
          <w:rFonts w:ascii="Times New Roman" w:hAnsi="Times New Roman" w:cs="Times New Roman"/>
          <w:i/>
          <w:iCs/>
          <w:sz w:val="24"/>
          <w:szCs w:val="24"/>
        </w:rPr>
        <w:t>anthropologically shallow</w:t>
      </w:r>
      <w:r w:rsidRPr="00157AAC">
        <w:rPr>
          <w:rFonts w:ascii="Times New Roman" w:hAnsi="Times New Roman" w:cs="Times New Roman"/>
          <w:sz w:val="24"/>
          <w:szCs w:val="24"/>
        </w:rPr>
        <w:t xml:space="preserve"> – ‘sweeping generalisations’ about relations to animals, obscuring complex realities of ‘multi-species communities’ (SW 161 – McElwain).</w:t>
      </w:r>
    </w:p>
    <w:p w14:paraId="0CA21F7C" w14:textId="26BE3AA6" w:rsidR="00245FA7" w:rsidRPr="000C5CF5" w:rsidRDefault="00157AAC" w:rsidP="0024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Diagnosing the myopia: </w:t>
      </w:r>
      <w:r w:rsidR="00245FA7">
        <w:rPr>
          <w:rFonts w:ascii="Times New Roman" w:hAnsi="Times New Roman" w:cs="Times New Roman"/>
          <w:sz w:val="24"/>
          <w:szCs w:val="24"/>
        </w:rPr>
        <w:t>unthinking transposition of c</w:t>
      </w:r>
      <w:r>
        <w:rPr>
          <w:rFonts w:ascii="Times New Roman" w:hAnsi="Times New Roman" w:cs="Times New Roman"/>
          <w:sz w:val="24"/>
          <w:szCs w:val="24"/>
        </w:rPr>
        <w:t>oncepts of liberal morality, zealous emphasis on rationality</w:t>
      </w:r>
      <w:r w:rsidR="00245FA7">
        <w:rPr>
          <w:rFonts w:ascii="Times New Roman" w:hAnsi="Times New Roman" w:cs="Times New Roman"/>
          <w:sz w:val="24"/>
          <w:szCs w:val="24"/>
        </w:rPr>
        <w:t>, squeamishness about subjectivity and emotion. More interesting, too,</w:t>
      </w:r>
      <w:r>
        <w:rPr>
          <w:rFonts w:ascii="Times New Roman" w:hAnsi="Times New Roman" w:cs="Times New Roman"/>
          <w:sz w:val="24"/>
          <w:szCs w:val="24"/>
        </w:rPr>
        <w:t xml:space="preserve"> (a) </w:t>
      </w:r>
      <w:r w:rsidR="00245FA7">
        <w:rPr>
          <w:rFonts w:ascii="Times New Roman" w:hAnsi="Times New Roman" w:cs="Times New Roman"/>
          <w:sz w:val="24"/>
          <w:szCs w:val="24"/>
        </w:rPr>
        <w:t xml:space="preserve">self-serving concealment of range and role of vices in our treatment of animals (Cooper on misanthropy) and (b) encouragement of optimistic ‘expanding moral circle’ stories (A 110). </w:t>
      </w:r>
    </w:p>
    <w:p w14:paraId="1E44DDB4" w14:textId="5AF05026" w:rsidR="00157AAC" w:rsidRDefault="00245FA7" w:rsidP="00245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Breadth and depth.</w:t>
      </w:r>
    </w:p>
    <w:p w14:paraId="503F9653" w14:textId="01CAD421" w:rsidR="00245FA7" w:rsidRDefault="00245FA7" w:rsidP="0024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Midgley was a skilled diagnostician and critic of varieties of myopic thinking – about animals, science, evolution, the self, our relation to the natural environment – and the psychological and cultural and historical dimensions of all this (cf. Murdoch on ‘Freud and Marx’).</w:t>
      </w:r>
    </w:p>
    <w:p w14:paraId="5A7AF957" w14:textId="100AED20" w:rsidR="00245FA7" w:rsidRDefault="00245FA7" w:rsidP="0024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Positive epistemic values opposed to myopia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depth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breadth</w:t>
      </w:r>
      <w:r>
        <w:rPr>
          <w:rFonts w:ascii="Times New Roman" w:hAnsi="Times New Roman" w:cs="Times New Roman"/>
          <w:sz w:val="24"/>
          <w:szCs w:val="24"/>
        </w:rPr>
        <w:t xml:space="preserve"> – each visible and admirable in several aspects of Midgley’s character and practice:</w:t>
      </w:r>
    </w:p>
    <w:p w14:paraId="1B42F8AA" w14:textId="6DB3BE58" w:rsidR="00245FA7" w:rsidRDefault="00245FA7" w:rsidP="00245F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of ‘myths’ and ‘imaginative visions’</w:t>
      </w:r>
    </w:p>
    <w:p w14:paraId="2F9B554C" w14:textId="7A219931" w:rsidR="00245FA7" w:rsidRDefault="00245FA7" w:rsidP="00245F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engagements with wider disciplines and communities (ethology, Gaians)</w:t>
      </w:r>
    </w:p>
    <w:p w14:paraId="22292887" w14:textId="77777777" w:rsidR="00141DB3" w:rsidRDefault="00141DB3" w:rsidP="00245F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congenial conception of good philosophising as a social activity </w:t>
      </w:r>
    </w:p>
    <w:p w14:paraId="75FED732" w14:textId="20048D99" w:rsidR="0036142F" w:rsidRDefault="0036142F" w:rsidP="00245F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historical and anthropological sensibility</w:t>
      </w:r>
    </w:p>
    <w:p w14:paraId="69B8F627" w14:textId="7D111213" w:rsidR="00141DB3" w:rsidRDefault="00141DB3" w:rsidP="00245FA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critical perspective on the current condition of philosophy as a discipline</w:t>
      </w:r>
    </w:p>
    <w:p w14:paraId="71D947DD" w14:textId="0D5A2186" w:rsidR="00245FA7" w:rsidRDefault="00245FA7" w:rsidP="00245F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kinds of depth and broadmindedness are not always facilitated </w:t>
      </w:r>
      <w:r w:rsidR="00141DB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rewarded </w:t>
      </w:r>
      <w:r w:rsidR="0036142F">
        <w:rPr>
          <w:rFonts w:ascii="Times New Roman" w:hAnsi="Times New Roman" w:cs="Times New Roman"/>
          <w:sz w:val="24"/>
          <w:szCs w:val="24"/>
        </w:rPr>
        <w:t>by our disciplinary structures,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42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academic philosophy is not immune to ‘tribal narrowness’ (SP 118) and ‘arbitrary narrowmindedness’ (ER 115).</w:t>
      </w:r>
    </w:p>
    <w:p w14:paraId="61D65212" w14:textId="308263BD" w:rsidR="009F6DE1" w:rsidRDefault="00683845" w:rsidP="009F6D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We should continue Midgley’s efforts to ‘</w:t>
      </w:r>
      <w:r w:rsidR="00245FA7">
        <w:rPr>
          <w:rFonts w:ascii="Times New Roman" w:hAnsi="Times New Roman" w:cs="Times New Roman"/>
          <w:sz w:val="24"/>
          <w:szCs w:val="24"/>
        </w:rPr>
        <w:t>shift aside the various barriers that surround the small garden that is allowed to count as Philosophy’ (WWN 225)</w:t>
      </w:r>
      <w:r w:rsidR="009F6DE1">
        <w:rPr>
          <w:rFonts w:ascii="Times New Roman" w:hAnsi="Times New Roman" w:cs="Times New Roman"/>
          <w:sz w:val="24"/>
          <w:szCs w:val="24"/>
        </w:rPr>
        <w:t>:</w:t>
      </w:r>
    </w:p>
    <w:p w14:paraId="15391E42" w14:textId="77777777" w:rsidR="009F6DE1" w:rsidRDefault="009F6DE1" w:rsidP="009F6D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7E541B" w14:textId="62A579F3" w:rsidR="009F6DE1" w:rsidRPr="009F6DE1" w:rsidRDefault="009F6DE1" w:rsidP="009F6DE1">
      <w:pPr>
        <w:spacing w:line="360" w:lineRule="auto"/>
        <w:ind w:left="1418" w:right="1938"/>
        <w:jc w:val="both"/>
        <w:rPr>
          <w:rFonts w:ascii="Times New Roman" w:hAnsi="Times New Roman" w:cs="Times New Roman"/>
          <w:sz w:val="24"/>
          <w:szCs w:val="24"/>
        </w:rPr>
      </w:pPr>
      <w:r w:rsidRPr="009F6DE1">
        <w:rPr>
          <w:rFonts w:ascii="Times New Roman" w:hAnsi="Times New Roman" w:cs="Times New Roman"/>
          <w:sz w:val="20"/>
          <w:szCs w:val="20"/>
        </w:rPr>
        <w:t>‘What great philosophers do for us is not to hand out such an all-purpose system. It is to light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up and clarify some special aspect of life, to supply conceptual tools which will do a certain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necessary kind of work. Wide though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that area of work may be, it is never the whole, and 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ideas lose their proper power when they are used out of their appropriate context. That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why one great philosopher does not necessarily displace another, why there is room for all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DE1">
        <w:rPr>
          <w:rFonts w:ascii="Times New Roman" w:hAnsi="Times New Roman" w:cs="Times New Roman"/>
          <w:sz w:val="20"/>
          <w:szCs w:val="20"/>
        </w:rPr>
        <w:t>them and a great many more whom we do not have yet’ (M 223)</w:t>
      </w:r>
    </w:p>
    <w:p w14:paraId="0411CF58" w14:textId="77777777" w:rsidR="0036142F" w:rsidRDefault="0036142F" w:rsidP="00245F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F4F855" w14:textId="27A7F026" w:rsidR="00245FA7" w:rsidRDefault="00245FA7" w:rsidP="00245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6DE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6DE1">
        <w:rPr>
          <w:rFonts w:ascii="Times New Roman" w:hAnsi="Times New Roman" w:cs="Times New Roman"/>
          <w:sz w:val="24"/>
          <w:szCs w:val="24"/>
        </w:rPr>
        <w:t xml:space="preserve">ames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F6DE1">
        <w:rPr>
          <w:rFonts w:ascii="Times New Roman" w:hAnsi="Times New Roman" w:cs="Times New Roman"/>
          <w:sz w:val="24"/>
          <w:szCs w:val="24"/>
        </w:rPr>
        <w:t>idd</w:t>
      </w:r>
    </w:p>
    <w:p w14:paraId="70B4B1C1" w14:textId="32854C46" w:rsidR="009F6DE1" w:rsidRDefault="009F6DE1" w:rsidP="00245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Nottingham</w:t>
      </w:r>
    </w:p>
    <w:p w14:paraId="3ECBED0D" w14:textId="329D8578" w:rsidR="009F6DE1" w:rsidRDefault="00204138" w:rsidP="00245FA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47D26">
          <w:rPr>
            <w:rStyle w:val="Hyperlink"/>
            <w:rFonts w:ascii="Times New Roman" w:hAnsi="Times New Roman" w:cs="Times New Roman"/>
            <w:sz w:val="24"/>
            <w:szCs w:val="24"/>
          </w:rPr>
          <w:t>www.ianjameskidd.weebly.com</w:t>
        </w:r>
      </w:hyperlink>
    </w:p>
    <w:p w14:paraId="71D43F1C" w14:textId="77777777" w:rsidR="00204138" w:rsidRDefault="00204138" w:rsidP="00245F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9CFB6" w14:textId="77777777" w:rsidR="00683845" w:rsidRDefault="00683845" w:rsidP="00683845">
      <w:pPr>
        <w:tabs>
          <w:tab w:val="left" w:pos="201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C36D" w14:textId="77777777" w:rsidR="00683845" w:rsidRDefault="00683845" w:rsidP="00683845">
      <w:pPr>
        <w:tabs>
          <w:tab w:val="left" w:pos="201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985720" w14:textId="4E93B821" w:rsidR="00D72FB1" w:rsidRPr="00683845" w:rsidRDefault="00683845" w:rsidP="00683845">
      <w:pPr>
        <w:tabs>
          <w:tab w:val="left" w:pos="20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64A4C3D" w14:textId="77777777" w:rsidR="00683845" w:rsidRPr="00683845" w:rsidRDefault="00683845" w:rsidP="00683845">
      <w:pPr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4F10FEA5" w14:textId="7E9EC9C5" w:rsidR="00683845" w:rsidRDefault="00683845" w:rsidP="00683845">
      <w:pPr>
        <w:jc w:val="both"/>
        <w:rPr>
          <w:rFonts w:ascii="Times New Roman" w:hAnsi="Times New Roman" w:cs="Times New Roman"/>
          <w:b/>
          <w:bCs/>
        </w:rPr>
      </w:pPr>
      <w:r w:rsidRPr="00683845">
        <w:rPr>
          <w:rFonts w:ascii="Times New Roman" w:hAnsi="Times New Roman" w:cs="Times New Roman"/>
          <w:b/>
          <w:bCs/>
        </w:rPr>
        <w:t>Works by Midgley:</w:t>
      </w:r>
    </w:p>
    <w:p w14:paraId="2CAF74F7" w14:textId="77777777" w:rsidR="009F6DE1" w:rsidRPr="00683845" w:rsidRDefault="009F6DE1" w:rsidP="00683845">
      <w:pPr>
        <w:jc w:val="both"/>
        <w:rPr>
          <w:rFonts w:ascii="Times New Roman" w:hAnsi="Times New Roman" w:cs="Times New Roman"/>
          <w:b/>
          <w:bCs/>
        </w:rPr>
      </w:pPr>
    </w:p>
    <w:p w14:paraId="4C970B45" w14:textId="0B5B77D6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proofErr w:type="gramStart"/>
      <w:r w:rsidRPr="00683845">
        <w:rPr>
          <w:rFonts w:ascii="Times New Roman" w:hAnsi="Times New Roman" w:cs="Times New Roman"/>
        </w:rPr>
        <w:t>A</w:t>
      </w:r>
      <w:proofErr w:type="gramEnd"/>
      <w:r w:rsidRPr="00683845">
        <w:rPr>
          <w:rFonts w:ascii="Times New Roman" w:hAnsi="Times New Roman" w:cs="Times New Roman"/>
        </w:rPr>
        <w:tab/>
      </w:r>
      <w:r w:rsidR="00683845"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Animals and Why They Matter</w:t>
      </w:r>
    </w:p>
    <w:p w14:paraId="599830CE" w14:textId="55C4B858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  <w:i/>
          <w:iCs/>
        </w:rPr>
      </w:pPr>
      <w:r w:rsidRPr="00683845">
        <w:rPr>
          <w:rFonts w:ascii="Times New Roman" w:hAnsi="Times New Roman" w:cs="Times New Roman"/>
        </w:rPr>
        <w:t>ER</w:t>
      </w:r>
      <w:r w:rsidR="00141DB3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Evolution as a Religion</w:t>
      </w:r>
    </w:p>
    <w:p w14:paraId="3E952767" w14:textId="272B1143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M</w:t>
      </w:r>
      <w:r w:rsidRPr="00683845">
        <w:rPr>
          <w:rFonts w:ascii="Times New Roman" w:hAnsi="Times New Roman" w:cs="Times New Roman"/>
        </w:rPr>
        <w:tab/>
      </w:r>
      <w:r w:rsidR="00683845"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The Myths We Live By</w:t>
      </w:r>
    </w:p>
    <w:p w14:paraId="7B1568B7" w14:textId="59C707C3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OM</w:t>
      </w:r>
      <w:r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The Owl of Minerva</w:t>
      </w:r>
      <w:r w:rsidRPr="00683845">
        <w:rPr>
          <w:rFonts w:ascii="Times New Roman" w:hAnsi="Times New Roman" w:cs="Times New Roman"/>
        </w:rPr>
        <w:t xml:space="preserve"> </w:t>
      </w:r>
    </w:p>
    <w:p w14:paraId="7F5F2D90" w14:textId="3A41FFDF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SP</w:t>
      </w:r>
      <w:r w:rsidRPr="00683845">
        <w:rPr>
          <w:rFonts w:ascii="Times New Roman" w:hAnsi="Times New Roman" w:cs="Times New Roman"/>
        </w:rPr>
        <w:tab/>
      </w:r>
      <w:r w:rsidR="00683845"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Science and Poetry</w:t>
      </w:r>
    </w:p>
    <w:p w14:paraId="0163DB89" w14:textId="1101E143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SS</w:t>
      </w:r>
      <w:r w:rsidRPr="00683845">
        <w:rPr>
          <w:rFonts w:ascii="Times New Roman" w:hAnsi="Times New Roman" w:cs="Times New Roman"/>
        </w:rPr>
        <w:tab/>
      </w:r>
      <w:r w:rsidR="00683845"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Science and the Self</w:t>
      </w:r>
    </w:p>
    <w:p w14:paraId="6EE9D1BC" w14:textId="1448E4ED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SW</w:t>
      </w:r>
      <w:r w:rsidRPr="00683845">
        <w:rPr>
          <w:rFonts w:ascii="Times New Roman" w:hAnsi="Times New Roman" w:cs="Times New Roman"/>
        </w:rPr>
        <w:tab/>
        <w:t xml:space="preserve">‘Should We Let Them Go?’ in Francine </w:t>
      </w:r>
      <w:proofErr w:type="spellStart"/>
      <w:r w:rsidRPr="00683845">
        <w:rPr>
          <w:rFonts w:ascii="Times New Roman" w:hAnsi="Times New Roman" w:cs="Times New Roman"/>
        </w:rPr>
        <w:t>Dolins</w:t>
      </w:r>
      <w:proofErr w:type="spellEnd"/>
      <w:r w:rsidRPr="00683845">
        <w:rPr>
          <w:rFonts w:ascii="Times New Roman" w:hAnsi="Times New Roman" w:cs="Times New Roman"/>
        </w:rPr>
        <w:t xml:space="preserve"> (ed.), </w:t>
      </w:r>
      <w:r w:rsidRPr="00683845">
        <w:rPr>
          <w:rFonts w:ascii="Times New Roman" w:hAnsi="Times New Roman" w:cs="Times New Roman"/>
          <w:i/>
          <w:iCs/>
        </w:rPr>
        <w:t>Attitudes to Animals</w:t>
      </w:r>
    </w:p>
    <w:p w14:paraId="0F68B210" w14:textId="77777777" w:rsidR="00683845" w:rsidRPr="00683845" w:rsidRDefault="0036142F" w:rsidP="00683845">
      <w:pPr>
        <w:ind w:left="426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>WF</w:t>
      </w:r>
      <w:r w:rsidRPr="00683845">
        <w:rPr>
          <w:rFonts w:ascii="Times New Roman" w:hAnsi="Times New Roman" w:cs="Times New Roman"/>
        </w:rPr>
        <w:tab/>
      </w:r>
      <w:r w:rsidR="00683845" w:rsidRPr="00683845">
        <w:rPr>
          <w:rFonts w:ascii="Times New Roman" w:hAnsi="Times New Roman" w:cs="Times New Roman"/>
        </w:rPr>
        <w:t>‘</w:t>
      </w:r>
      <w:r w:rsidRPr="00683845">
        <w:rPr>
          <w:rFonts w:ascii="Times New Roman" w:hAnsi="Times New Roman" w:cs="Times New Roman"/>
        </w:rPr>
        <w:t>Why Farm Animals Matter</w:t>
      </w:r>
      <w:r w:rsidR="00683845" w:rsidRPr="00683845">
        <w:rPr>
          <w:rFonts w:ascii="Times New Roman" w:hAnsi="Times New Roman" w:cs="Times New Roman"/>
        </w:rPr>
        <w:t xml:space="preserve">’ in Marion Stamp Dawkins and Roland Bonney </w:t>
      </w:r>
    </w:p>
    <w:p w14:paraId="1B2017A1" w14:textId="140BA0D5" w:rsidR="0036142F" w:rsidRPr="00683845" w:rsidRDefault="00683845" w:rsidP="00683845">
      <w:pPr>
        <w:ind w:left="1146" w:firstLine="294"/>
        <w:jc w:val="both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 xml:space="preserve">(eds.), </w:t>
      </w:r>
      <w:r w:rsidRPr="00683845">
        <w:rPr>
          <w:rFonts w:ascii="Times New Roman" w:hAnsi="Times New Roman" w:cs="Times New Roman"/>
          <w:i/>
          <w:iCs/>
        </w:rPr>
        <w:t>The Future of Animal Farming</w:t>
      </w:r>
    </w:p>
    <w:p w14:paraId="393743F2" w14:textId="7B2F5AEC" w:rsidR="0036142F" w:rsidRPr="00683845" w:rsidRDefault="0036142F" w:rsidP="00683845">
      <w:pPr>
        <w:ind w:left="426"/>
        <w:jc w:val="both"/>
        <w:rPr>
          <w:rFonts w:ascii="Times New Roman" w:hAnsi="Times New Roman" w:cs="Times New Roman"/>
          <w:i/>
          <w:iCs/>
        </w:rPr>
      </w:pPr>
      <w:r w:rsidRPr="00683845">
        <w:rPr>
          <w:rFonts w:ascii="Times New Roman" w:hAnsi="Times New Roman" w:cs="Times New Roman"/>
        </w:rPr>
        <w:t>WPF</w:t>
      </w:r>
      <w:r w:rsidRPr="00683845">
        <w:rPr>
          <w:rFonts w:ascii="Times New Roman" w:hAnsi="Times New Roman" w:cs="Times New Roman"/>
        </w:rPr>
        <w:tab/>
      </w:r>
      <w:r w:rsidRPr="00683845">
        <w:rPr>
          <w:rFonts w:ascii="Times New Roman" w:hAnsi="Times New Roman" w:cs="Times New Roman"/>
          <w:i/>
          <w:iCs/>
        </w:rPr>
        <w:t>What is Philosophy For?</w:t>
      </w:r>
    </w:p>
    <w:p w14:paraId="18366732" w14:textId="76891EB1" w:rsidR="0036142F" w:rsidRPr="00683845" w:rsidRDefault="0036142F" w:rsidP="00683845">
      <w:pPr>
        <w:ind w:left="1440" w:hanging="1014"/>
        <w:jc w:val="both"/>
        <w:rPr>
          <w:rFonts w:ascii="Times New Roman" w:hAnsi="Times New Roman" w:cs="Times New Roman"/>
          <w:i/>
          <w:iCs/>
        </w:rPr>
      </w:pPr>
      <w:r w:rsidRPr="00683845">
        <w:rPr>
          <w:rFonts w:ascii="Times New Roman" w:hAnsi="Times New Roman" w:cs="Times New Roman"/>
        </w:rPr>
        <w:t>WWN</w:t>
      </w:r>
      <w:r w:rsidRPr="00683845">
        <w:rPr>
          <w:rFonts w:ascii="Times New Roman" w:hAnsi="Times New Roman" w:cs="Times New Roman"/>
        </w:rPr>
        <w:tab/>
        <w:t xml:space="preserve">‘Which Way Next?’ in Ian James Kidd and Elizabeth McKinnell (eds.) </w:t>
      </w:r>
      <w:r w:rsidRPr="00683845">
        <w:rPr>
          <w:rFonts w:ascii="Times New Roman" w:hAnsi="Times New Roman" w:cs="Times New Roman"/>
          <w:i/>
          <w:iCs/>
        </w:rPr>
        <w:t>Science and the Self</w:t>
      </w:r>
    </w:p>
    <w:p w14:paraId="393C9A7E" w14:textId="7935AE47" w:rsidR="00683845" w:rsidRDefault="00683845" w:rsidP="0036142F">
      <w:pPr>
        <w:spacing w:line="276" w:lineRule="auto"/>
        <w:ind w:left="284" w:hanging="284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3EF4E869" w14:textId="77777777" w:rsidR="009F6DE1" w:rsidRPr="009F6DE1" w:rsidRDefault="009F6DE1" w:rsidP="0036142F">
      <w:pPr>
        <w:spacing w:line="276" w:lineRule="auto"/>
        <w:ind w:left="284" w:hanging="284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D21B7C8" w14:textId="01444A5B" w:rsidR="00683845" w:rsidRPr="00683845" w:rsidRDefault="00683845" w:rsidP="0036142F">
      <w:pPr>
        <w:spacing w:line="276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683845">
        <w:rPr>
          <w:rFonts w:ascii="Times New Roman" w:hAnsi="Times New Roman" w:cs="Times New Roman"/>
          <w:b/>
          <w:color w:val="000000" w:themeColor="text1"/>
        </w:rPr>
        <w:t>Other works cited:</w:t>
      </w:r>
    </w:p>
    <w:p w14:paraId="16C47BAF" w14:textId="1F6A53E8" w:rsidR="0036142F" w:rsidRPr="00683845" w:rsidRDefault="0036142F" w:rsidP="0036142F">
      <w:pPr>
        <w:spacing w:line="276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683845">
        <w:rPr>
          <w:rFonts w:ascii="Times New Roman" w:hAnsi="Times New Roman" w:cs="Times New Roman"/>
          <w:bCs/>
          <w:color w:val="000000" w:themeColor="text1"/>
        </w:rPr>
        <w:t xml:space="preserve">Cooper, David E. </w:t>
      </w:r>
      <w:r w:rsidRPr="00683845">
        <w:rPr>
          <w:rFonts w:ascii="Times New Roman" w:hAnsi="Times New Roman" w:cs="Times New Roman"/>
          <w:color w:val="000000" w:themeColor="text1"/>
        </w:rPr>
        <w:t xml:space="preserve">‘“Removing the Barriers”: Mary Midgley on Concern for Animals’, </w:t>
      </w:r>
      <w:r w:rsidRPr="00683845">
        <w:rPr>
          <w:rFonts w:ascii="Times New Roman" w:hAnsi="Times New Roman" w:cs="Times New Roman"/>
          <w:i/>
          <w:iCs/>
        </w:rPr>
        <w:t>Royal Institute of Philosophy Supplement</w:t>
      </w:r>
      <w:r w:rsidRPr="00683845">
        <w:rPr>
          <w:rFonts w:ascii="Times New Roman" w:hAnsi="Times New Roman" w:cs="Times New Roman"/>
        </w:rPr>
        <w:t xml:space="preserve"> 87 (2020): 249-262. </w:t>
      </w:r>
    </w:p>
    <w:p w14:paraId="04044DCB" w14:textId="77777777" w:rsidR="0036142F" w:rsidRPr="00683845" w:rsidRDefault="0036142F" w:rsidP="0036142F">
      <w:pPr>
        <w:spacing w:line="276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683845">
        <w:rPr>
          <w:rFonts w:ascii="Times New Roman" w:hAnsi="Times New Roman" w:cs="Times New Roman"/>
          <w:bCs/>
          <w:color w:val="000000" w:themeColor="text1"/>
        </w:rPr>
        <w:t xml:space="preserve">Cooper, David E. </w:t>
      </w:r>
      <w:r w:rsidRPr="0068384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Animals and Misanthropy </w:t>
      </w:r>
      <w:r w:rsidRPr="00683845">
        <w:rPr>
          <w:rFonts w:ascii="Times New Roman" w:hAnsi="Times New Roman" w:cs="Times New Roman"/>
          <w:bCs/>
          <w:color w:val="000000" w:themeColor="text1"/>
        </w:rPr>
        <w:t>(London: Routledge, 2018).</w:t>
      </w:r>
    </w:p>
    <w:p w14:paraId="4682BDE1" w14:textId="77777777" w:rsidR="0036142F" w:rsidRPr="00683845" w:rsidRDefault="0036142F" w:rsidP="0036142F">
      <w:pPr>
        <w:spacing w:line="276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683845">
        <w:rPr>
          <w:rFonts w:ascii="Times New Roman" w:hAnsi="Times New Roman" w:cs="Times New Roman"/>
        </w:rPr>
        <w:t xml:space="preserve">James, Simon P. </w:t>
      </w:r>
      <w:r w:rsidRPr="00683845">
        <w:rPr>
          <w:rFonts w:ascii="Times New Roman" w:hAnsi="Times New Roman" w:cs="Times New Roman"/>
          <w:i/>
          <w:iCs/>
        </w:rPr>
        <w:t xml:space="preserve">The Presence of Nature: A Study in Phenomenology and Environmental Philosophy </w:t>
      </w:r>
      <w:r w:rsidRPr="00683845">
        <w:rPr>
          <w:rFonts w:ascii="Times New Roman" w:hAnsi="Times New Roman" w:cs="Times New Roman"/>
        </w:rPr>
        <w:t>(Basingstoke: Palgrave- Macmillan, 2009).</w:t>
      </w:r>
    </w:p>
    <w:p w14:paraId="6F910843" w14:textId="2509A8D5" w:rsidR="0036142F" w:rsidRPr="00683845" w:rsidRDefault="0036142F" w:rsidP="0036142F">
      <w:pPr>
        <w:spacing w:line="276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683845">
        <w:rPr>
          <w:rFonts w:ascii="Times New Roman" w:hAnsi="Times New Roman" w:cs="Times New Roman"/>
        </w:rPr>
        <w:t xml:space="preserve">Kidd, Ian James, ‘Doing Science an Injustice: Midgley on Scientism’, </w:t>
      </w:r>
      <w:r w:rsidR="009F6DE1">
        <w:rPr>
          <w:rFonts w:ascii="Times New Roman" w:hAnsi="Times New Roman" w:cs="Times New Roman"/>
        </w:rPr>
        <w:t xml:space="preserve">in </w:t>
      </w:r>
      <w:r w:rsidRPr="00683845">
        <w:rPr>
          <w:rFonts w:ascii="Times New Roman" w:hAnsi="Times New Roman" w:cs="Times New Roman"/>
        </w:rPr>
        <w:t>Ian James Kidd and Elizabeth McKinnell (eds.), </w:t>
      </w:r>
      <w:r w:rsidRPr="00683845">
        <w:rPr>
          <w:rFonts w:ascii="Times New Roman" w:hAnsi="Times New Roman" w:cs="Times New Roman"/>
          <w:i/>
          <w:iCs/>
        </w:rPr>
        <w:t>Science and the Self: Animals, Evolution, and Ethics: Essays in Honour of Mary Midgley</w:t>
      </w:r>
      <w:r w:rsidRPr="00683845">
        <w:rPr>
          <w:rFonts w:ascii="Times New Roman" w:hAnsi="Times New Roman" w:cs="Times New Roman"/>
        </w:rPr>
        <w:t> (London: Routledge, 2015</w:t>
      </w:r>
      <w:r w:rsidR="00141DB3">
        <w:rPr>
          <w:rFonts w:ascii="Times New Roman" w:hAnsi="Times New Roman" w:cs="Times New Roman"/>
        </w:rPr>
        <w:t>),</w:t>
      </w:r>
      <w:r w:rsidRPr="00683845">
        <w:rPr>
          <w:rFonts w:ascii="Times New Roman" w:hAnsi="Times New Roman" w:cs="Times New Roman"/>
        </w:rPr>
        <w:t xml:space="preserve"> 151-167.</w:t>
      </w:r>
    </w:p>
    <w:p w14:paraId="29F6E116" w14:textId="77777777" w:rsidR="0036142F" w:rsidRPr="00683845" w:rsidRDefault="0036142F" w:rsidP="0036142F">
      <w:pPr>
        <w:spacing w:line="276" w:lineRule="auto"/>
        <w:ind w:left="284" w:hanging="284"/>
        <w:rPr>
          <w:rStyle w:val="apple-converted-space"/>
          <w:rFonts w:ascii="Times New Roman" w:hAnsi="Times New Roman" w:cs="Times New Roman"/>
          <w:color w:val="0F1111"/>
        </w:rPr>
      </w:pPr>
      <w:r w:rsidRPr="00683845">
        <w:rPr>
          <w:rFonts w:ascii="Times New Roman" w:hAnsi="Times New Roman" w:cs="Times New Roman"/>
          <w:color w:val="231E1E"/>
        </w:rPr>
        <w:t xml:space="preserve">Lipscombe, Benjamin. </w:t>
      </w:r>
      <w:r w:rsidRPr="00683845">
        <w:rPr>
          <w:rStyle w:val="a-size-extra-large"/>
          <w:rFonts w:ascii="Times New Roman" w:hAnsi="Times New Roman" w:cs="Times New Roman"/>
          <w:i/>
          <w:iCs/>
          <w:color w:val="0F1111"/>
        </w:rPr>
        <w:t>The Women Are Up to Something: How Elizabeth Anscombe, Philippa Foot, Mary Midgley, and Iris Murdoch Revolutionized Ethics</w:t>
      </w:r>
      <w:r w:rsidRPr="00683845">
        <w:rPr>
          <w:rStyle w:val="apple-converted-space"/>
          <w:rFonts w:ascii="Times New Roman" w:hAnsi="Times New Roman" w:cs="Times New Roman"/>
          <w:color w:val="0F1111"/>
        </w:rPr>
        <w:t> (Oxford: Oxford University Press, 2021).</w:t>
      </w:r>
    </w:p>
    <w:p w14:paraId="7F25CE72" w14:textId="77777777" w:rsidR="0036142F" w:rsidRPr="00683845" w:rsidRDefault="0036142F" w:rsidP="0036142F">
      <w:pPr>
        <w:spacing w:line="276" w:lineRule="auto"/>
        <w:ind w:left="284" w:hanging="284"/>
        <w:rPr>
          <w:rStyle w:val="apple-converted-space"/>
          <w:rFonts w:ascii="Times New Roman" w:hAnsi="Times New Roman" w:cs="Times New Roman"/>
          <w:color w:val="121212"/>
          <w:bdr w:val="none" w:sz="0" w:space="0" w:color="auto" w:frame="1"/>
        </w:rPr>
      </w:pPr>
      <w:proofErr w:type="spellStart"/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>MacCumhaill</w:t>
      </w:r>
      <w:proofErr w:type="spellEnd"/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>, Clare and Rachael Wiseman,</w:t>
      </w:r>
      <w:r w:rsidRPr="00683845">
        <w:rPr>
          <w:rFonts w:ascii="Times New Roman" w:hAnsi="Times New Roman" w:cs="Times New Roman"/>
          <w:i/>
          <w:iCs/>
        </w:rPr>
        <w:t xml:space="preserve"> </w:t>
      </w:r>
      <w:r w:rsidRPr="00683845">
        <w:rPr>
          <w:rFonts w:ascii="Times New Roman" w:hAnsi="Times New Roman" w:cs="Times New Roman"/>
          <w:i/>
          <w:iCs/>
          <w:color w:val="000000"/>
        </w:rPr>
        <w:t xml:space="preserve">Metaphysical Animals: How Four Women Brought Philosophy Back to Life </w:t>
      </w:r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 xml:space="preserve">(London: </w:t>
      </w:r>
      <w:proofErr w:type="spellStart"/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>Chatto</w:t>
      </w:r>
      <w:proofErr w:type="spellEnd"/>
      <w:r w:rsidRPr="00683845">
        <w:rPr>
          <w:rStyle w:val="apple-converted-space"/>
          <w:rFonts w:ascii="Times New Roman" w:hAnsi="Times New Roman" w:cs="Times New Roman"/>
          <w:i/>
          <w:iCs/>
          <w:color w:val="121212"/>
          <w:bdr w:val="none" w:sz="0" w:space="0" w:color="auto" w:frame="1"/>
        </w:rPr>
        <w:t> </w:t>
      </w:r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 xml:space="preserve">&amp; </w:t>
      </w:r>
      <w:proofErr w:type="spellStart"/>
      <w:r w:rsidRPr="00683845">
        <w:rPr>
          <w:rStyle w:val="Emphasis"/>
          <w:rFonts w:ascii="Times New Roman" w:hAnsi="Times New Roman" w:cs="Times New Roman"/>
          <w:i w:val="0"/>
          <w:iCs w:val="0"/>
          <w:color w:val="121212"/>
          <w:bdr w:val="none" w:sz="0" w:space="0" w:color="auto" w:frame="1"/>
        </w:rPr>
        <w:t>Windus</w:t>
      </w:r>
      <w:proofErr w:type="spellEnd"/>
      <w:r w:rsidRPr="00683845">
        <w:rPr>
          <w:rStyle w:val="apple-converted-space"/>
          <w:rFonts w:ascii="Times New Roman" w:hAnsi="Times New Roman" w:cs="Times New Roman"/>
          <w:color w:val="121212"/>
          <w:bdr w:val="none" w:sz="0" w:space="0" w:color="auto" w:frame="1"/>
        </w:rPr>
        <w:t>, 2022).</w:t>
      </w:r>
    </w:p>
    <w:p w14:paraId="686DFA3A" w14:textId="77777777" w:rsidR="0036142F" w:rsidRPr="00683845" w:rsidRDefault="0036142F" w:rsidP="0036142F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683845">
        <w:rPr>
          <w:rFonts w:ascii="Times New Roman" w:hAnsi="Times New Roman" w:cs="Times New Roman"/>
        </w:rPr>
        <w:t xml:space="preserve">McElwain, Gregory S., ‘The Mixed Community’, in Ian James. Kidd and Elizabeth McKinnell (eds.), </w:t>
      </w:r>
      <w:r w:rsidRPr="00683845">
        <w:rPr>
          <w:rFonts w:ascii="Times New Roman" w:hAnsi="Times New Roman" w:cs="Times New Roman"/>
          <w:i/>
        </w:rPr>
        <w:t>Science and Self: Animals, Evolution, and Ethics: Essays in Honour of Mary Midgley</w:t>
      </w:r>
      <w:r w:rsidRPr="00683845">
        <w:rPr>
          <w:rFonts w:ascii="Times New Roman" w:hAnsi="Times New Roman" w:cs="Times New Roman"/>
        </w:rPr>
        <w:t xml:space="preserve"> (Abingdon: Routledge, 2016), 41-51.</w:t>
      </w:r>
    </w:p>
    <w:p w14:paraId="66C50C26" w14:textId="30700B9C" w:rsidR="009F6DE1" w:rsidRPr="0036142F" w:rsidRDefault="0036142F" w:rsidP="009F6DE1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83845">
        <w:rPr>
          <w:rFonts w:ascii="Times New Roman" w:hAnsi="Times New Roman" w:cs="Times New Roman"/>
          <w:bCs/>
          <w:color w:val="000000" w:themeColor="text1"/>
        </w:rPr>
        <w:t xml:space="preserve">Murdoch, Iris, </w:t>
      </w:r>
      <w:r w:rsidRPr="00683845">
        <w:rPr>
          <w:rFonts w:ascii="Times New Roman" w:hAnsi="Times New Roman" w:cs="Times New Roman"/>
          <w:bCs/>
          <w:i/>
          <w:iCs/>
          <w:color w:val="000000" w:themeColor="text1"/>
        </w:rPr>
        <w:t>Existentialists and Mystics: Writings on Philosophy and Literature</w:t>
      </w:r>
      <w:r w:rsidRPr="00683845">
        <w:rPr>
          <w:rFonts w:ascii="Times New Roman" w:hAnsi="Times New Roman" w:cs="Times New Roman"/>
          <w:bCs/>
          <w:color w:val="000000" w:themeColor="text1"/>
        </w:rPr>
        <w:t xml:space="preserve">, edited by Peter </w:t>
      </w:r>
      <w:proofErr w:type="spellStart"/>
      <w:r w:rsidRPr="00683845">
        <w:rPr>
          <w:rFonts w:ascii="Times New Roman" w:hAnsi="Times New Roman" w:cs="Times New Roman"/>
          <w:bCs/>
          <w:color w:val="000000" w:themeColor="text1"/>
        </w:rPr>
        <w:t>Conradi</w:t>
      </w:r>
      <w:proofErr w:type="spellEnd"/>
      <w:r w:rsidRPr="0068384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683845">
        <w:rPr>
          <w:rFonts w:ascii="Times New Roman" w:hAnsi="Times New Roman" w:cs="Times New Roman"/>
          <w:bCs/>
          <w:color w:val="000000" w:themeColor="text1"/>
        </w:rPr>
        <w:t>(London: Penguin, 1999).</w:t>
      </w:r>
    </w:p>
    <w:sectPr w:rsidR="009F6DE1" w:rsidRPr="0036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BFA5" w14:textId="77777777" w:rsidR="004E7C59" w:rsidRDefault="004E7C59" w:rsidP="009F6DE1">
      <w:pPr>
        <w:spacing w:after="0" w:line="240" w:lineRule="auto"/>
      </w:pPr>
      <w:r>
        <w:separator/>
      </w:r>
    </w:p>
  </w:endnote>
  <w:endnote w:type="continuationSeparator" w:id="0">
    <w:p w14:paraId="11A80C49" w14:textId="77777777" w:rsidR="004E7C59" w:rsidRDefault="004E7C59" w:rsidP="009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FB26" w14:textId="77777777" w:rsidR="004E7C59" w:rsidRDefault="004E7C59" w:rsidP="009F6DE1">
      <w:pPr>
        <w:spacing w:after="0" w:line="240" w:lineRule="auto"/>
      </w:pPr>
      <w:r>
        <w:separator/>
      </w:r>
    </w:p>
  </w:footnote>
  <w:footnote w:type="continuationSeparator" w:id="0">
    <w:p w14:paraId="3079A34E" w14:textId="77777777" w:rsidR="004E7C59" w:rsidRDefault="004E7C59" w:rsidP="009F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78C"/>
    <w:multiLevelType w:val="hybridMultilevel"/>
    <w:tmpl w:val="2B941FA4"/>
    <w:lvl w:ilvl="0" w:tplc="D4DA3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F6A"/>
    <w:multiLevelType w:val="hybridMultilevel"/>
    <w:tmpl w:val="07C69F1C"/>
    <w:lvl w:ilvl="0" w:tplc="1522F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734"/>
    <w:multiLevelType w:val="hybridMultilevel"/>
    <w:tmpl w:val="3DBA924A"/>
    <w:lvl w:ilvl="0" w:tplc="C8C4A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27"/>
    <w:multiLevelType w:val="hybridMultilevel"/>
    <w:tmpl w:val="18DA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B2A"/>
    <w:multiLevelType w:val="hybridMultilevel"/>
    <w:tmpl w:val="36A0005E"/>
    <w:lvl w:ilvl="0" w:tplc="B2F01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062"/>
    <w:multiLevelType w:val="hybridMultilevel"/>
    <w:tmpl w:val="A262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74B8"/>
    <w:multiLevelType w:val="hybridMultilevel"/>
    <w:tmpl w:val="019AF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36760"/>
    <w:multiLevelType w:val="hybridMultilevel"/>
    <w:tmpl w:val="42EEF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53304D"/>
    <w:multiLevelType w:val="hybridMultilevel"/>
    <w:tmpl w:val="83D64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26846"/>
    <w:multiLevelType w:val="multilevel"/>
    <w:tmpl w:val="41C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6A3DBB"/>
    <w:multiLevelType w:val="hybridMultilevel"/>
    <w:tmpl w:val="D898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F0AF8"/>
    <w:multiLevelType w:val="hybridMultilevel"/>
    <w:tmpl w:val="0638DF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C55"/>
    <w:multiLevelType w:val="hybridMultilevel"/>
    <w:tmpl w:val="C19AAFDE"/>
    <w:lvl w:ilvl="0" w:tplc="C7D84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829"/>
    <w:multiLevelType w:val="hybridMultilevel"/>
    <w:tmpl w:val="B0AC5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B1"/>
    <w:rsid w:val="000C5CF5"/>
    <w:rsid w:val="00141DB3"/>
    <w:rsid w:val="00157AAC"/>
    <w:rsid w:val="00204138"/>
    <w:rsid w:val="00245FA7"/>
    <w:rsid w:val="002822B0"/>
    <w:rsid w:val="003147B3"/>
    <w:rsid w:val="0036142F"/>
    <w:rsid w:val="004E7C59"/>
    <w:rsid w:val="00656814"/>
    <w:rsid w:val="00683845"/>
    <w:rsid w:val="009F3178"/>
    <w:rsid w:val="009F6DE1"/>
    <w:rsid w:val="00D72FB1"/>
    <w:rsid w:val="00D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4DC0"/>
  <w15:chartTrackingRefBased/>
  <w15:docId w15:val="{33BCAD23-089D-4357-9264-D97819E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42F"/>
  </w:style>
  <w:style w:type="character" w:customStyle="1" w:styleId="a-size-extra-large">
    <w:name w:val="a-size-extra-large"/>
    <w:basedOn w:val="DefaultParagraphFont"/>
    <w:rsid w:val="0036142F"/>
  </w:style>
  <w:style w:type="character" w:styleId="Emphasis">
    <w:name w:val="Emphasis"/>
    <w:basedOn w:val="DefaultParagraphFont"/>
    <w:uiPriority w:val="20"/>
    <w:qFormat/>
    <w:rsid w:val="0036142F"/>
    <w:rPr>
      <w:i/>
      <w:iCs/>
    </w:rPr>
  </w:style>
  <w:style w:type="character" w:styleId="Hyperlink">
    <w:name w:val="Hyperlink"/>
    <w:basedOn w:val="DefaultParagraphFont"/>
    <w:uiPriority w:val="99"/>
    <w:unhideWhenUsed/>
    <w:rsid w:val="0036142F"/>
    <w:rPr>
      <w:color w:val="0000FF"/>
      <w:u w:val="single"/>
    </w:rPr>
  </w:style>
  <w:style w:type="paragraph" w:styleId="NoSpacing">
    <w:name w:val="No Spacing"/>
    <w:uiPriority w:val="1"/>
    <w:qFormat/>
    <w:rsid w:val="00361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E1"/>
  </w:style>
  <w:style w:type="paragraph" w:styleId="Footer">
    <w:name w:val="footer"/>
    <w:basedOn w:val="Normal"/>
    <w:link w:val="FooterChar"/>
    <w:uiPriority w:val="99"/>
    <w:unhideWhenUsed/>
    <w:rsid w:val="009F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E1"/>
  </w:style>
  <w:style w:type="character" w:styleId="UnresolvedMention">
    <w:name w:val="Unresolved Mention"/>
    <w:basedOn w:val="DefaultParagraphFont"/>
    <w:uiPriority w:val="99"/>
    <w:semiHidden/>
    <w:unhideWhenUsed/>
    <w:rsid w:val="0020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njameskid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3</cp:revision>
  <dcterms:created xsi:type="dcterms:W3CDTF">2023-06-05T16:16:00Z</dcterms:created>
  <dcterms:modified xsi:type="dcterms:W3CDTF">2023-06-05T17:07:00Z</dcterms:modified>
</cp:coreProperties>
</file>