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ABB3" w14:textId="4E089425" w:rsidR="00D441F7" w:rsidRDefault="00D441F7" w:rsidP="00C7592C">
      <w:pPr>
        <w:spacing w:line="276" w:lineRule="auto"/>
        <w:rPr>
          <w:b/>
          <w:bCs/>
        </w:rPr>
      </w:pPr>
      <w:r>
        <w:rPr>
          <w:b/>
          <w:bCs/>
        </w:rPr>
        <w:t>A Philosophical Defence of Misanthropy</w:t>
      </w:r>
    </w:p>
    <w:p w14:paraId="3082CB58" w14:textId="0E301E14" w:rsidR="00D441F7" w:rsidRDefault="00D441F7" w:rsidP="00C7592C">
      <w:pPr>
        <w:spacing w:line="276" w:lineRule="auto"/>
        <w:rPr>
          <w:i/>
          <w:iCs/>
        </w:rPr>
      </w:pPr>
      <w:r>
        <w:rPr>
          <w:i/>
          <w:iCs/>
        </w:rPr>
        <w:t>TRS Summer School, Nottingham, 25/4/23</w:t>
      </w:r>
    </w:p>
    <w:p w14:paraId="24BFB63A" w14:textId="77777777" w:rsidR="00D441F7" w:rsidRDefault="00D441F7" w:rsidP="00C7592C">
      <w:pPr>
        <w:spacing w:line="276" w:lineRule="auto"/>
        <w:rPr>
          <w:i/>
          <w:iCs/>
        </w:rPr>
      </w:pPr>
    </w:p>
    <w:p w14:paraId="69BE9EF1" w14:textId="77777777" w:rsidR="00D441F7" w:rsidRDefault="00D441F7" w:rsidP="00C7592C">
      <w:pPr>
        <w:spacing w:line="276" w:lineRule="auto"/>
        <w:rPr>
          <w:i/>
          <w:iCs/>
        </w:rPr>
      </w:pPr>
    </w:p>
    <w:p w14:paraId="50E47584" w14:textId="77777777" w:rsidR="00D441F7" w:rsidRPr="00723C04" w:rsidRDefault="00D441F7" w:rsidP="00C7592C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 w:rsidRPr="00723C04">
        <w:rPr>
          <w:b/>
          <w:bCs/>
        </w:rPr>
        <w:t>Preliminaries.</w:t>
      </w:r>
    </w:p>
    <w:p w14:paraId="677D2D5B" w14:textId="77777777" w:rsidR="00D441F7" w:rsidRDefault="00D441F7" w:rsidP="00C7592C">
      <w:pPr>
        <w:spacing w:line="276" w:lineRule="auto"/>
        <w:jc w:val="both"/>
      </w:pPr>
      <w:r>
        <w:t>Misanthropy, a neglected topic, has gained interest among philosophers (Cooper) and literary scholars (Gibson, Harris).</w:t>
      </w:r>
    </w:p>
    <w:p w14:paraId="4841E52F" w14:textId="77777777" w:rsidR="00D441F7" w:rsidRDefault="00D441F7" w:rsidP="00C7592C">
      <w:pPr>
        <w:spacing w:line="276" w:lineRule="auto"/>
        <w:jc w:val="both"/>
      </w:pPr>
      <w:r>
        <w:t xml:space="preserve">          Most discussions (a) presuppose misanthropy-as-hatred account, (b) reject misanthropy as a path to violence (Shklar), a fuel of moral vices (Gerber), an ‘impossible doctrine’ (Gibson), or (c) conflate misanthropy with pessimism (Dienstag).</w:t>
      </w:r>
    </w:p>
    <w:p w14:paraId="23020FD9" w14:textId="77777777" w:rsidR="00D441F7" w:rsidRPr="00956AFE" w:rsidRDefault="00D441F7" w:rsidP="00C7592C">
      <w:pPr>
        <w:spacing w:line="276" w:lineRule="auto"/>
        <w:jc w:val="both"/>
        <w:rPr>
          <w:sz w:val="10"/>
          <w:szCs w:val="10"/>
        </w:rPr>
      </w:pPr>
    </w:p>
    <w:p w14:paraId="2126AE28" w14:textId="77777777" w:rsidR="00D441F7" w:rsidRPr="00CF6C2A" w:rsidRDefault="00D441F7" w:rsidP="00C7592C">
      <w:pPr>
        <w:spacing w:line="276" w:lineRule="auto"/>
        <w:jc w:val="both"/>
      </w:pPr>
      <w:r>
        <w:t xml:space="preserve">   I want to show misanthropy is more complex, interesting, and compelling than this suggests.</w:t>
      </w:r>
    </w:p>
    <w:p w14:paraId="230F18C0" w14:textId="6104FD45" w:rsidR="00D441F7" w:rsidRDefault="00D441F7" w:rsidP="00C7592C">
      <w:pPr>
        <w:spacing w:line="276" w:lineRule="auto"/>
        <w:rPr>
          <w:b/>
          <w:bCs/>
          <w:sz w:val="10"/>
          <w:szCs w:val="10"/>
        </w:rPr>
      </w:pPr>
    </w:p>
    <w:p w14:paraId="17752B71" w14:textId="05104CB2" w:rsidR="0044658D" w:rsidRDefault="0044658D" w:rsidP="00C7592C">
      <w:pPr>
        <w:spacing w:line="276" w:lineRule="auto"/>
        <w:rPr>
          <w:b/>
          <w:bCs/>
          <w:sz w:val="10"/>
          <w:szCs w:val="10"/>
        </w:rPr>
      </w:pPr>
    </w:p>
    <w:p w14:paraId="5D5AF672" w14:textId="05AD4C95" w:rsidR="0044658D" w:rsidRDefault="0044658D" w:rsidP="00C7592C">
      <w:pPr>
        <w:spacing w:line="276" w:lineRule="auto"/>
        <w:rPr>
          <w:b/>
          <w:bCs/>
          <w:sz w:val="10"/>
          <w:szCs w:val="10"/>
        </w:rPr>
      </w:pPr>
    </w:p>
    <w:p w14:paraId="645FA972" w14:textId="77777777" w:rsidR="0044658D" w:rsidRPr="0044658D" w:rsidRDefault="0044658D" w:rsidP="00C7592C">
      <w:pPr>
        <w:spacing w:line="276" w:lineRule="auto"/>
        <w:rPr>
          <w:b/>
          <w:bCs/>
          <w:sz w:val="10"/>
          <w:szCs w:val="10"/>
        </w:rPr>
      </w:pPr>
    </w:p>
    <w:p w14:paraId="153533DA" w14:textId="77777777" w:rsidR="00D441F7" w:rsidRPr="00723C04" w:rsidRDefault="00D441F7" w:rsidP="00C7592C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 w:rsidRPr="00723C04">
        <w:rPr>
          <w:b/>
          <w:bCs/>
        </w:rPr>
        <w:t>The conceptual core of misanthropy.</w:t>
      </w:r>
    </w:p>
    <w:p w14:paraId="3512EB37" w14:textId="455A42D2" w:rsidR="00D441F7" w:rsidRDefault="00D441F7" w:rsidP="00C7592C">
      <w:pPr>
        <w:spacing w:line="276" w:lineRule="auto"/>
      </w:pPr>
      <w:r>
        <w:t xml:space="preserve">I endorse and expand on Cooper’s account of M: </w:t>
      </w:r>
      <w:r>
        <w:rPr>
          <w:i/>
          <w:iCs/>
        </w:rPr>
        <w:t>misanthropy is a negative critical verdict on the collective moral condition and performance of humankind</w:t>
      </w:r>
      <w:r w:rsidR="000F6414">
        <w:t xml:space="preserve"> (elaborated in my work),</w:t>
      </w:r>
    </w:p>
    <w:p w14:paraId="31D67F96" w14:textId="126F7A52" w:rsidR="00D441F7" w:rsidRDefault="00D441F7" w:rsidP="00C7592C">
      <w:pPr>
        <w:spacing w:line="276" w:lineRule="auto"/>
      </w:pPr>
      <w:r>
        <w:t xml:space="preserve">     Comments</w:t>
      </w:r>
      <w:r w:rsidR="00CE3FDC">
        <w:t>: misanthropy, properly understood, is</w:t>
      </w:r>
    </w:p>
    <w:p w14:paraId="0CE978D5" w14:textId="77777777" w:rsidR="00D441F7" w:rsidRDefault="00D441F7" w:rsidP="00C7592C">
      <w:pPr>
        <w:pStyle w:val="ListParagraph"/>
        <w:numPr>
          <w:ilvl w:val="0"/>
          <w:numId w:val="1"/>
        </w:numPr>
        <w:spacing w:line="276" w:lineRule="auto"/>
        <w:ind w:left="851"/>
      </w:pPr>
      <w:r>
        <w:t>a judgment or verdict</w:t>
      </w:r>
    </w:p>
    <w:p w14:paraId="73CD46F6" w14:textId="54C7DA76" w:rsidR="00D441F7" w:rsidRDefault="00D441F7" w:rsidP="00C7592C">
      <w:pPr>
        <w:pStyle w:val="ListParagraph"/>
        <w:numPr>
          <w:ilvl w:val="0"/>
          <w:numId w:val="1"/>
        </w:numPr>
        <w:spacing w:line="276" w:lineRule="auto"/>
        <w:ind w:left="851"/>
      </w:pPr>
      <w:r>
        <w:t xml:space="preserve">directed at something </w:t>
      </w:r>
      <w:r w:rsidR="00CE3FDC">
        <w:t xml:space="preserve">abstract and </w:t>
      </w:r>
      <w:r>
        <w:t>collective – humankind, humanity, human</w:t>
      </w:r>
      <w:r w:rsidR="00CE3FDC">
        <w:t xml:space="preserve"> life</w:t>
      </w:r>
    </w:p>
    <w:p w14:paraId="2528456D" w14:textId="42F6E4CE" w:rsidR="00D441F7" w:rsidRDefault="008246C7" w:rsidP="00C7592C">
      <w:pPr>
        <w:pStyle w:val="ListParagraph"/>
        <w:numPr>
          <w:ilvl w:val="0"/>
          <w:numId w:val="1"/>
        </w:numPr>
        <w:spacing w:line="276" w:lineRule="auto"/>
        <w:ind w:left="851"/>
      </w:pPr>
      <w:r>
        <w:t xml:space="preserve">as </w:t>
      </w:r>
      <w:r w:rsidR="00D441F7">
        <w:t>suffused with</w:t>
      </w:r>
      <w:r>
        <w:t xml:space="preserve"> diverse kinds of</w:t>
      </w:r>
      <w:r w:rsidR="00D441F7">
        <w:t xml:space="preserve"> </w:t>
      </w:r>
      <w:r w:rsidR="00D441F7" w:rsidRPr="00387E2B">
        <w:rPr>
          <w:b/>
          <w:bCs/>
        </w:rPr>
        <w:t>failings</w:t>
      </w:r>
      <w:r w:rsidR="00D441F7">
        <w:t xml:space="preserve"> </w:t>
      </w:r>
      <w:r>
        <w:t xml:space="preserve">that are </w:t>
      </w:r>
      <w:r w:rsidR="00D441F7">
        <w:t xml:space="preserve">both </w:t>
      </w:r>
      <w:r w:rsidR="00D441F7" w:rsidRPr="000B638E">
        <w:rPr>
          <w:b/>
          <w:bCs/>
        </w:rPr>
        <w:t>ubiquitous</w:t>
      </w:r>
      <w:r w:rsidR="00D441F7">
        <w:t xml:space="preserve"> and </w:t>
      </w:r>
      <w:r w:rsidR="00D441F7" w:rsidRPr="000B638E">
        <w:rPr>
          <w:b/>
          <w:bCs/>
        </w:rPr>
        <w:t>entrenched</w:t>
      </w:r>
    </w:p>
    <w:p w14:paraId="14FC3C65" w14:textId="77777777" w:rsidR="00D441F7" w:rsidRPr="0044658D" w:rsidRDefault="00D441F7" w:rsidP="00C7592C">
      <w:pPr>
        <w:spacing w:line="276" w:lineRule="auto"/>
        <w:rPr>
          <w:sz w:val="10"/>
          <w:szCs w:val="10"/>
        </w:rPr>
      </w:pPr>
    </w:p>
    <w:p w14:paraId="2BA5A158" w14:textId="6FAAA4D0" w:rsidR="00D441F7" w:rsidRDefault="00711648" w:rsidP="00C7592C">
      <w:pPr>
        <w:spacing w:line="276" w:lineRule="auto"/>
      </w:pPr>
      <w:r>
        <w:t xml:space="preserve">   </w:t>
      </w:r>
      <w:r w:rsidR="00D441F7">
        <w:t xml:space="preserve">      </w:t>
      </w:r>
      <w:r w:rsidR="00D441F7" w:rsidRPr="000B638E">
        <w:rPr>
          <w:b/>
          <w:bCs/>
        </w:rPr>
        <w:t>Failings</w:t>
      </w:r>
      <w:r w:rsidR="00D441F7">
        <w:t xml:space="preserve"> of many </w:t>
      </w:r>
      <w:r w:rsidR="00384804">
        <w:t>types</w:t>
      </w:r>
      <w:r w:rsidR="00D441F7">
        <w:t>,</w:t>
      </w:r>
      <w:r>
        <w:t xml:space="preserve"> often</w:t>
      </w:r>
      <w:r w:rsidR="00D441F7">
        <w:t xml:space="preserve"> organisable into clusters, whose intelligibility and salience will depend on the wider commitments of specific misanthropes.</w:t>
      </w:r>
    </w:p>
    <w:p w14:paraId="1A1A5B49" w14:textId="74C5BD88" w:rsidR="0044658D" w:rsidRPr="00387E2B" w:rsidRDefault="00D441F7" w:rsidP="00C7592C">
      <w:pPr>
        <w:spacing w:line="276" w:lineRule="auto"/>
      </w:pPr>
      <w:r>
        <w:t xml:space="preserve">           </w:t>
      </w:r>
      <w:r w:rsidR="003A6865">
        <w:t xml:space="preserve">   </w:t>
      </w:r>
      <w:r>
        <w:t xml:space="preserve">Misanthropes </w:t>
      </w:r>
      <w:r w:rsidR="003A6865">
        <w:t>may</w:t>
      </w:r>
      <w:r>
        <w:t xml:space="preserve"> have </w:t>
      </w:r>
      <w:r>
        <w:rPr>
          <w:b/>
          <w:bCs/>
        </w:rPr>
        <w:t>misanthropic narratives</w:t>
      </w:r>
      <w:r>
        <w:t xml:space="preserve"> about how we came to be like this</w:t>
      </w:r>
      <w:r w:rsidR="0044658D">
        <w:t>, including retrospective and/or prospective stories about humankind’s moral development.</w:t>
      </w:r>
    </w:p>
    <w:p w14:paraId="7BA912D6" w14:textId="2EF62F22" w:rsidR="00D441F7" w:rsidRDefault="00D441F7" w:rsidP="00C7592C">
      <w:pPr>
        <w:spacing w:line="276" w:lineRule="auto"/>
      </w:pPr>
      <w:r>
        <w:t xml:space="preserve">     Ubiquity and entrenchment guard a misanthropic verdict against </w:t>
      </w:r>
      <w:r w:rsidRPr="000B638E">
        <w:rPr>
          <w:b/>
          <w:bCs/>
        </w:rPr>
        <w:t>confinement</w:t>
      </w:r>
      <w:r>
        <w:t xml:space="preserve"> </w:t>
      </w:r>
      <w:r w:rsidRPr="000B638E">
        <w:rPr>
          <w:b/>
          <w:bCs/>
        </w:rPr>
        <w:t>strategies</w:t>
      </w:r>
      <w:r>
        <w:t xml:space="preserve">, which insist human failings are confined to </w:t>
      </w:r>
      <w:r w:rsidR="000F6414">
        <w:t xml:space="preserve">(i) very </w:t>
      </w:r>
      <w:r>
        <w:t xml:space="preserve">bad people or </w:t>
      </w:r>
      <w:r w:rsidR="000F6414">
        <w:t xml:space="preserve">(ii) very </w:t>
      </w:r>
      <w:r>
        <w:t>bad conditions.</w:t>
      </w:r>
    </w:p>
    <w:p w14:paraId="20448C36" w14:textId="77777777" w:rsidR="00D441F7" w:rsidRDefault="00D441F7" w:rsidP="00C7592C">
      <w:pPr>
        <w:spacing w:line="276" w:lineRule="auto"/>
      </w:pPr>
    </w:p>
    <w:p w14:paraId="00C3BFD3" w14:textId="77777777" w:rsidR="00D441F7" w:rsidRDefault="00D441F7" w:rsidP="00C7592C">
      <w:pPr>
        <w:spacing w:line="276" w:lineRule="auto"/>
      </w:pPr>
      <w:r>
        <w:t>A misanthrope is condemning humankind as it has come to be:</w:t>
      </w:r>
    </w:p>
    <w:p w14:paraId="70A2AAB6" w14:textId="77777777" w:rsidR="00D441F7" w:rsidRDefault="00D441F7" w:rsidP="00C7592C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judgment is not directed at </w:t>
      </w:r>
      <w:r w:rsidRPr="008A1CA9">
        <w:rPr>
          <w:b/>
          <w:bCs/>
        </w:rPr>
        <w:t>individuals</w:t>
      </w:r>
      <w:r>
        <w:t>: some vicious people may be exemplars of our collective failings; virtuous exemplars may invite appreciation because of their relative freedom from the failings of the world.</w:t>
      </w:r>
    </w:p>
    <w:p w14:paraId="2B7BF6A4" w14:textId="25B3079C" w:rsidR="00D441F7" w:rsidRDefault="00D441F7" w:rsidP="00C7592C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misanthropy need not involve a conception of </w:t>
      </w:r>
      <w:r w:rsidRPr="008A1CA9">
        <w:rPr>
          <w:b/>
          <w:bCs/>
        </w:rPr>
        <w:t>human nature</w:t>
      </w:r>
      <w:r>
        <w:t xml:space="preserve"> (Augustine; Kant radical evil</w:t>
      </w:r>
      <w:r w:rsidRPr="008665FF">
        <w:t>;</w:t>
      </w:r>
      <w:r>
        <w:t xml:space="preserve"> classical China). Anyway, our original</w:t>
      </w:r>
      <w:r w:rsidR="000F6414">
        <w:t>/</w:t>
      </w:r>
      <w:r>
        <w:t xml:space="preserve">underlying moral </w:t>
      </w:r>
      <w:r w:rsidR="000F6414">
        <w:t>condition</w:t>
      </w:r>
      <w:r>
        <w:t xml:space="preserve"> is </w:t>
      </w:r>
      <w:r w:rsidRPr="00432286">
        <w:rPr>
          <w:i/>
          <w:iCs/>
        </w:rPr>
        <w:t>irrelevant</w:t>
      </w:r>
      <w:r>
        <w:t xml:space="preserve"> to appraisal of our current condition (Rousseau on ‘natural/civilized man’</w:t>
      </w:r>
      <w:r w:rsidR="000F6414">
        <w:t xml:space="preserve"> – cf.</w:t>
      </w:r>
      <w:r>
        <w:t xml:space="preserve"> Bregman).</w:t>
      </w:r>
    </w:p>
    <w:p w14:paraId="4DB1AD98" w14:textId="77777777" w:rsidR="00D441F7" w:rsidRDefault="00D441F7" w:rsidP="00C7592C">
      <w:pPr>
        <w:spacing w:line="276" w:lineRule="auto"/>
        <w:jc w:val="both"/>
      </w:pPr>
    </w:p>
    <w:p w14:paraId="4CCC6534" w14:textId="77777777" w:rsidR="0074368D" w:rsidRDefault="00D441F7" w:rsidP="00C7592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723C04">
        <w:rPr>
          <w:b/>
          <w:bCs/>
        </w:rPr>
        <w:t>Becoming and being a misanthrope.</w:t>
      </w:r>
    </w:p>
    <w:p w14:paraId="03F7A268" w14:textId="1F9C5DEF" w:rsidR="00D441F7" w:rsidRPr="0074368D" w:rsidRDefault="00D441F7" w:rsidP="00C7592C">
      <w:pPr>
        <w:spacing w:line="276" w:lineRule="auto"/>
        <w:jc w:val="both"/>
        <w:rPr>
          <w:b/>
          <w:bCs/>
        </w:rPr>
      </w:pPr>
      <w:r>
        <w:t>Double pluralism: there are many ways to become</w:t>
      </w:r>
      <w:r w:rsidR="0074368D">
        <w:t xml:space="preserve"> –</w:t>
      </w:r>
      <w:r>
        <w:t xml:space="preserve"> and many </w:t>
      </w:r>
      <w:r w:rsidR="0074368D">
        <w:t>ways of being –</w:t>
      </w:r>
      <w:r>
        <w:t xml:space="preserve"> misanthro</w:t>
      </w:r>
      <w:r w:rsidR="0074368D">
        <w:t>pic</w:t>
      </w:r>
      <w:r>
        <w:t xml:space="preserve">. </w:t>
      </w:r>
    </w:p>
    <w:p w14:paraId="4E1E1BFD" w14:textId="74DD0394" w:rsidR="00D441F7" w:rsidRDefault="00D441F7" w:rsidP="00C7592C">
      <w:pPr>
        <w:spacing w:line="276" w:lineRule="auto"/>
        <w:jc w:val="both"/>
      </w:pPr>
      <w:r>
        <w:t xml:space="preserve">    </w:t>
      </w:r>
      <w:r w:rsidR="00072873">
        <w:t xml:space="preserve">      </w:t>
      </w:r>
      <w:r w:rsidRPr="008A1CA9">
        <w:rPr>
          <w:b/>
          <w:bCs/>
        </w:rPr>
        <w:t>Aetiology</w:t>
      </w:r>
      <w:r>
        <w:t xml:space="preserve"> </w:t>
      </w:r>
      <w:r w:rsidR="00072873">
        <w:t>of misanthropy:</w:t>
      </w:r>
      <w:r>
        <w:t xml:space="preserve"> ‘long, sad experience’ (Kant), loss of</w:t>
      </w:r>
      <w:r w:rsidR="00072873">
        <w:t xml:space="preserve"> a generalised</w:t>
      </w:r>
      <w:r>
        <w:t xml:space="preserve"> moral trust in people (Socrates), reflection and judgment (Cooper), ‘melancholic moods’ (Schopenhauer).</w:t>
      </w:r>
    </w:p>
    <w:p w14:paraId="74249931" w14:textId="77777777" w:rsidR="00D441F7" w:rsidRDefault="00D441F7" w:rsidP="00C7592C">
      <w:pPr>
        <w:spacing w:line="276" w:lineRule="auto"/>
        <w:jc w:val="both"/>
      </w:pPr>
      <w:r>
        <w:t xml:space="preserve">          To become a misanthrope, misanthropic attitudes and convictions must become central to one’s outlook and orientation (Norlock).</w:t>
      </w:r>
    </w:p>
    <w:p w14:paraId="3B15D64D" w14:textId="0BE3846C" w:rsidR="00D441F7" w:rsidRDefault="00D441F7" w:rsidP="00C7592C">
      <w:pPr>
        <w:spacing w:line="276" w:lineRule="auto"/>
        <w:jc w:val="both"/>
      </w:pPr>
      <w:r>
        <w:rPr>
          <w:b/>
          <w:bCs/>
        </w:rPr>
        <w:lastRenderedPageBreak/>
        <w:t xml:space="preserve">   Misanthropic stances</w:t>
      </w:r>
      <w:r>
        <w:t>: an organised structure of affects, cognitions, and behaviours through which a person tries to ‘live out’ their misanthropic appraisal of humankind (</w:t>
      </w:r>
      <w:r w:rsidRPr="004B76EA">
        <w:rPr>
          <w:i/>
          <w:iCs/>
        </w:rPr>
        <w:t>contra</w:t>
      </w:r>
      <w:r>
        <w:t xml:space="preserve"> Svoboda).</w:t>
      </w:r>
    </w:p>
    <w:p w14:paraId="4FCB1838" w14:textId="28653EF0" w:rsidR="00D441F7" w:rsidRDefault="00D441F7" w:rsidP="00C7592C">
      <w:pPr>
        <w:spacing w:line="276" w:lineRule="auto"/>
      </w:pPr>
      <w:r>
        <w:t xml:space="preserve">     </w:t>
      </w:r>
      <w:r w:rsidR="003613A2">
        <w:t>Here are four main misanthropic stances, then first two named by Kant:</w:t>
      </w:r>
    </w:p>
    <w:p w14:paraId="3D6D0ACA" w14:textId="77777777" w:rsidR="00D441F7" w:rsidRDefault="00D441F7" w:rsidP="00C7592C">
      <w:pPr>
        <w:spacing w:line="276" w:lineRule="auto"/>
      </w:pPr>
    </w:p>
    <w:p w14:paraId="1B43B72F" w14:textId="0962A905" w:rsidR="00D441F7" w:rsidRDefault="00D441F7" w:rsidP="00C7592C">
      <w:pPr>
        <w:pStyle w:val="ListParagraph"/>
        <w:numPr>
          <w:ilvl w:val="0"/>
          <w:numId w:val="3"/>
        </w:numPr>
        <w:spacing w:line="276" w:lineRule="auto"/>
      </w:pPr>
      <w:r w:rsidRPr="00133B0B">
        <w:rPr>
          <w:b/>
          <w:bCs/>
          <w:u w:val="single"/>
        </w:rPr>
        <w:t>Enemy</w:t>
      </w:r>
      <w:r>
        <w:t xml:space="preserve">: </w:t>
      </w:r>
      <w:r w:rsidR="003613A2">
        <w:t xml:space="preserve">for Kant, </w:t>
      </w:r>
      <w:r>
        <w:t xml:space="preserve">characterised affectively by </w:t>
      </w:r>
      <w:r w:rsidRPr="00716424">
        <w:rPr>
          <w:i/>
          <w:iCs/>
        </w:rPr>
        <w:t>enmity</w:t>
      </w:r>
      <w:r>
        <w:t xml:space="preserve"> (ill-will </w:t>
      </w:r>
      <w:r w:rsidR="003613A2">
        <w:t>+</w:t>
      </w:r>
      <w:r>
        <w:t xml:space="preserve"> dislike), </w:t>
      </w:r>
      <w:r w:rsidR="003613A2">
        <w:t xml:space="preserve">expressed </w:t>
      </w:r>
      <w:r>
        <w:t>in desire</w:t>
      </w:r>
      <w:r w:rsidR="003613A2">
        <w:t>s</w:t>
      </w:r>
      <w:r>
        <w:t xml:space="preserve"> ‘to destroy the welfare of others’</w:t>
      </w:r>
      <w:r w:rsidR="003613A2">
        <w:t xml:space="preserve"> and is</w:t>
      </w:r>
      <w:r>
        <w:t xml:space="preserve"> thus ‘contemptible’</w:t>
      </w:r>
      <w:r w:rsidR="003613A2">
        <w:t>.</w:t>
      </w:r>
    </w:p>
    <w:p w14:paraId="68037C92" w14:textId="4550A914" w:rsidR="00CD6612" w:rsidRPr="00CD6612" w:rsidRDefault="00CD6612" w:rsidP="00C7592C">
      <w:pPr>
        <w:pStyle w:val="ListParagraph"/>
        <w:spacing w:line="276" w:lineRule="auto"/>
      </w:pPr>
      <w:r>
        <w:t xml:space="preserve">    </w:t>
      </w:r>
      <w:r w:rsidRPr="00CD6612">
        <w:t xml:space="preserve"> </w:t>
      </w:r>
      <w:r>
        <w:t xml:space="preserve">   Enemies might </w:t>
      </w:r>
      <w:r w:rsidRPr="00CD6612">
        <w:rPr>
          <w:u w:val="single"/>
        </w:rPr>
        <w:t>endorse</w:t>
      </w:r>
      <w:r>
        <w:t xml:space="preserve">, </w:t>
      </w:r>
      <w:r w:rsidRPr="00CD6612">
        <w:rPr>
          <w:u w:val="single"/>
        </w:rPr>
        <w:t>perform</w:t>
      </w:r>
      <w:r>
        <w:t xml:space="preserve">, or </w:t>
      </w:r>
      <w:r w:rsidRPr="00CD6612">
        <w:rPr>
          <w:u w:val="single"/>
        </w:rPr>
        <w:t>appreciate</w:t>
      </w:r>
      <w:r>
        <w:t xml:space="preserve"> violent disruption of human life.</w:t>
      </w:r>
    </w:p>
    <w:p w14:paraId="0FD74AB6" w14:textId="77777777" w:rsidR="00D441F7" w:rsidRPr="004B76EA" w:rsidRDefault="00D441F7" w:rsidP="00C7592C">
      <w:pPr>
        <w:spacing w:line="276" w:lineRule="auto"/>
      </w:pPr>
    </w:p>
    <w:p w14:paraId="5159EA47" w14:textId="18E44CCA" w:rsidR="00D441F7" w:rsidRDefault="00D441F7" w:rsidP="00C7592C">
      <w:pPr>
        <w:pStyle w:val="ListParagraph"/>
        <w:numPr>
          <w:ilvl w:val="0"/>
          <w:numId w:val="3"/>
        </w:numPr>
        <w:spacing w:line="276" w:lineRule="auto"/>
        <w:jc w:val="both"/>
      </w:pPr>
      <w:r w:rsidRPr="00133B0B">
        <w:rPr>
          <w:b/>
          <w:bCs/>
          <w:u w:val="single"/>
        </w:rPr>
        <w:t>Fugitive</w:t>
      </w:r>
      <w:r>
        <w:t xml:space="preserve">: </w:t>
      </w:r>
      <w:r w:rsidR="003613A2">
        <w:t xml:space="preserve">for Kant, </w:t>
      </w:r>
      <w:r>
        <w:t xml:space="preserve">characterised affectively by </w:t>
      </w:r>
      <w:r w:rsidRPr="00716424">
        <w:rPr>
          <w:i/>
          <w:iCs/>
        </w:rPr>
        <w:t>fear</w:t>
      </w:r>
      <w:r>
        <w:t xml:space="preserve"> – of physical and moral risks of </w:t>
      </w:r>
      <w:r w:rsidR="003613A2">
        <w:t xml:space="preserve">ongoing </w:t>
      </w:r>
      <w:r>
        <w:t xml:space="preserve">immersion in </w:t>
      </w:r>
      <w:r w:rsidR="003613A2">
        <w:t>the corrupting</w:t>
      </w:r>
      <w:r>
        <w:t xml:space="preserve"> human world</w:t>
      </w:r>
      <w:r w:rsidR="00CD6612">
        <w:t>,</w:t>
      </w:r>
      <w:r>
        <w:t xml:space="preserve"> manifested in ‘flight</w:t>
      </w:r>
      <w:r w:rsidR="00CD6612">
        <w:t>’ away from the mainstream world into some protected refuge:</w:t>
      </w:r>
    </w:p>
    <w:p w14:paraId="58E351D6" w14:textId="3C099BCB" w:rsidR="00CD6612" w:rsidRDefault="00CD6612" w:rsidP="00C7592C">
      <w:pPr>
        <w:pStyle w:val="ListParagraph"/>
        <w:spacing w:line="276" w:lineRule="auto"/>
        <w:ind w:firstLine="360"/>
      </w:pPr>
      <w:r>
        <w:t>Several types of Fugitive flight:</w:t>
      </w:r>
    </w:p>
    <w:p w14:paraId="67377C31" w14:textId="4CC58BCA" w:rsidR="00CD6612" w:rsidRDefault="00D441F7" w:rsidP="00C7592C">
      <w:pPr>
        <w:pStyle w:val="ListParagraph"/>
        <w:numPr>
          <w:ilvl w:val="0"/>
          <w:numId w:val="7"/>
        </w:numPr>
        <w:spacing w:line="276" w:lineRule="auto"/>
      </w:pPr>
      <w:r w:rsidRPr="00531FF2">
        <w:rPr>
          <w:b/>
          <w:bCs/>
        </w:rPr>
        <w:t>temporary</w:t>
      </w:r>
      <w:r>
        <w:t xml:space="preserve"> </w:t>
      </w:r>
      <w:r w:rsidR="00CD6612">
        <w:rPr>
          <w:b/>
          <w:bCs/>
        </w:rPr>
        <w:t>escap</w:t>
      </w:r>
      <w:r w:rsidR="00CD6612">
        <w:t>e</w:t>
      </w:r>
      <w:r w:rsidR="00CD6612">
        <w:tab/>
      </w:r>
      <w:r w:rsidR="00CD6612">
        <w:tab/>
      </w:r>
      <w:r>
        <w:t>(Trullinger on ‘virtuous solitary’)</w:t>
      </w:r>
    </w:p>
    <w:p w14:paraId="4577F32E" w14:textId="66426BCC" w:rsidR="00CD6612" w:rsidRDefault="00D441F7" w:rsidP="00C7592C">
      <w:pPr>
        <w:pStyle w:val="ListParagraph"/>
        <w:numPr>
          <w:ilvl w:val="0"/>
          <w:numId w:val="7"/>
        </w:numPr>
        <w:spacing w:line="276" w:lineRule="auto"/>
      </w:pPr>
      <w:r w:rsidRPr="00531FF2">
        <w:rPr>
          <w:b/>
          <w:bCs/>
        </w:rPr>
        <w:t>permanent</w:t>
      </w:r>
      <w:r>
        <w:t xml:space="preserve"> </w:t>
      </w:r>
      <w:r w:rsidRPr="00531FF2">
        <w:rPr>
          <w:b/>
          <w:bCs/>
        </w:rPr>
        <w:t>self-exile</w:t>
      </w:r>
      <w:r w:rsidR="00CD6612">
        <w:rPr>
          <w:b/>
          <w:bCs/>
        </w:rPr>
        <w:t xml:space="preserve"> </w:t>
      </w:r>
    </w:p>
    <w:p w14:paraId="017D8E8C" w14:textId="3E53FAB9" w:rsidR="00D441F7" w:rsidRPr="003539D5" w:rsidRDefault="00D441F7" w:rsidP="00C7592C">
      <w:pPr>
        <w:pStyle w:val="ListParagraph"/>
        <w:numPr>
          <w:ilvl w:val="0"/>
          <w:numId w:val="7"/>
        </w:numPr>
        <w:spacing w:line="276" w:lineRule="auto"/>
      </w:pPr>
      <w:r w:rsidRPr="003539D5">
        <w:rPr>
          <w:b/>
          <w:bCs/>
        </w:rPr>
        <w:t xml:space="preserve">radical Fugitivism </w:t>
      </w:r>
      <w:r w:rsidR="00CD6612">
        <w:t>–</w:t>
      </w:r>
      <w:r>
        <w:t xml:space="preserve"> the ideal of </w:t>
      </w:r>
      <w:r w:rsidRPr="00CD6612">
        <w:rPr>
          <w:i/>
          <w:iCs/>
        </w:rPr>
        <w:t>mokṣa</w:t>
      </w:r>
      <w:r w:rsidR="00CD6612">
        <w:t xml:space="preserve"> in Indian traditions</w:t>
      </w:r>
    </w:p>
    <w:p w14:paraId="48D241CA" w14:textId="77777777" w:rsidR="00D441F7" w:rsidRDefault="00D441F7" w:rsidP="00C7592C">
      <w:pPr>
        <w:spacing w:line="276" w:lineRule="auto"/>
        <w:jc w:val="both"/>
      </w:pPr>
    </w:p>
    <w:p w14:paraId="4532AD50" w14:textId="77777777" w:rsidR="00D441F7" w:rsidRDefault="00D441F7" w:rsidP="00C7592C">
      <w:pPr>
        <w:spacing w:line="276" w:lineRule="auto"/>
        <w:jc w:val="both"/>
      </w:pPr>
      <w:r>
        <w:t xml:space="preserve">           Problems with Kant’s account: (i) implausible affect-behaviour pairings and (ii) affective homogeneity of stances and (iii) the availability of other misanthropic stances (cf. Harris):</w:t>
      </w:r>
    </w:p>
    <w:p w14:paraId="442FAD94" w14:textId="77777777" w:rsidR="00D441F7" w:rsidRDefault="00D441F7" w:rsidP="00C7592C">
      <w:pPr>
        <w:spacing w:line="276" w:lineRule="auto"/>
        <w:jc w:val="both"/>
      </w:pPr>
    </w:p>
    <w:p w14:paraId="7422E699" w14:textId="39BAB5C7" w:rsidR="00D441F7" w:rsidRDefault="00D441F7" w:rsidP="00C7592C">
      <w:pPr>
        <w:pStyle w:val="ListParagraph"/>
        <w:numPr>
          <w:ilvl w:val="0"/>
          <w:numId w:val="3"/>
        </w:numPr>
        <w:spacing w:line="276" w:lineRule="auto"/>
        <w:jc w:val="both"/>
      </w:pPr>
      <w:r w:rsidRPr="00133B0B">
        <w:rPr>
          <w:b/>
          <w:bCs/>
          <w:u w:val="single"/>
        </w:rPr>
        <w:t>Activist</w:t>
      </w:r>
      <w:r>
        <w:t xml:space="preserve">: </w:t>
      </w:r>
      <w:r w:rsidR="00CD0347">
        <w:t>embraces</w:t>
      </w:r>
      <w:r>
        <w:t xml:space="preserve"> </w:t>
      </w:r>
      <w:r w:rsidR="00202EA3" w:rsidRPr="00202EA3">
        <w:rPr>
          <w:b/>
          <w:bCs/>
        </w:rPr>
        <w:t>strategies of rectification</w:t>
      </w:r>
      <w:r w:rsidR="00CD0347">
        <w:t xml:space="preserve">, </w:t>
      </w:r>
      <w:r w:rsidR="00202EA3">
        <w:t>collective actions aim</w:t>
      </w:r>
      <w:r w:rsidR="00CD0347">
        <w:t>ed</w:t>
      </w:r>
      <w:r w:rsidR="00202EA3">
        <w:t xml:space="preserve"> at </w:t>
      </w:r>
      <w:r w:rsidR="003A564B">
        <w:t>the dramatic</w:t>
      </w:r>
      <w:r w:rsidR="00202EA3">
        <w:t xml:space="preserve"> improvement of</w:t>
      </w:r>
      <w:r>
        <w:t xml:space="preserve"> the collective moral condition of humankind (Kǒngzı). </w:t>
      </w:r>
    </w:p>
    <w:p w14:paraId="79F561A2" w14:textId="77777777" w:rsidR="00D441F7" w:rsidRDefault="00D441F7" w:rsidP="00C7592C">
      <w:pPr>
        <w:pStyle w:val="ListParagraph"/>
        <w:spacing w:line="276" w:lineRule="auto"/>
        <w:jc w:val="both"/>
      </w:pPr>
      <w:r>
        <w:rPr>
          <w:b/>
          <w:bCs/>
        </w:rPr>
        <w:t xml:space="preserve">     </w:t>
      </w:r>
      <w:r>
        <w:t xml:space="preserve">Distinguish </w:t>
      </w:r>
      <w:r w:rsidRPr="00716424">
        <w:rPr>
          <w:b/>
          <w:bCs/>
        </w:rPr>
        <w:t>hopeful</w:t>
      </w:r>
      <w:r>
        <w:t xml:space="preserve"> and </w:t>
      </w:r>
      <w:r w:rsidRPr="00716424">
        <w:rPr>
          <w:b/>
          <w:bCs/>
        </w:rPr>
        <w:t>defiant</w:t>
      </w:r>
      <w:r>
        <w:t xml:space="preserve"> forms (Leopold/Norlock)</w:t>
      </w:r>
    </w:p>
    <w:p w14:paraId="55AF6CFA" w14:textId="577F8680" w:rsidR="00D441F7" w:rsidRPr="00716424" w:rsidRDefault="00D441F7" w:rsidP="00C7592C">
      <w:pPr>
        <w:pStyle w:val="ListParagraph"/>
        <w:spacing w:line="276" w:lineRule="auto"/>
        <w:jc w:val="both"/>
      </w:pPr>
      <w:r>
        <w:t xml:space="preserve">     Distinguish </w:t>
      </w:r>
      <w:r w:rsidR="0003055C">
        <w:t xml:space="preserve">kinds of </w:t>
      </w:r>
      <w:r w:rsidR="0003055C" w:rsidRPr="0003055C">
        <w:rPr>
          <w:b/>
          <w:bCs/>
        </w:rPr>
        <w:t>Radical Activism</w:t>
      </w:r>
      <w:r w:rsidR="00597E7D">
        <w:t xml:space="preserve">: </w:t>
      </w:r>
      <w:r w:rsidR="00597E7D" w:rsidRPr="0003055C">
        <w:rPr>
          <w:b/>
          <w:bCs/>
        </w:rPr>
        <w:t>extinctionis</w:t>
      </w:r>
      <w:r w:rsidR="0003055C">
        <w:rPr>
          <w:b/>
          <w:bCs/>
        </w:rPr>
        <w:t>m</w:t>
      </w:r>
      <w:r w:rsidR="0003055C" w:rsidRPr="0003055C">
        <w:t xml:space="preserve"> and </w:t>
      </w:r>
      <w:r w:rsidR="00597E7D" w:rsidRPr="0003055C">
        <w:rPr>
          <w:b/>
          <w:bCs/>
        </w:rPr>
        <w:t>transhumanis</w:t>
      </w:r>
      <w:r w:rsidR="0003055C">
        <w:rPr>
          <w:b/>
          <w:bCs/>
        </w:rPr>
        <w:t>m.</w:t>
      </w:r>
    </w:p>
    <w:p w14:paraId="45F486AA" w14:textId="77777777" w:rsidR="00D441F7" w:rsidRDefault="00D441F7" w:rsidP="00C7592C">
      <w:pPr>
        <w:spacing w:line="276" w:lineRule="auto"/>
        <w:jc w:val="both"/>
        <w:rPr>
          <w:b/>
          <w:bCs/>
        </w:rPr>
      </w:pPr>
    </w:p>
    <w:p w14:paraId="50DF0B69" w14:textId="5F608E55" w:rsidR="00D441F7" w:rsidRDefault="00D441F7" w:rsidP="00C7592C">
      <w:pPr>
        <w:pStyle w:val="ListParagraph"/>
        <w:numPr>
          <w:ilvl w:val="0"/>
          <w:numId w:val="3"/>
        </w:numPr>
        <w:spacing w:line="276" w:lineRule="auto"/>
        <w:jc w:val="both"/>
      </w:pPr>
      <w:r w:rsidRPr="00133B0B">
        <w:rPr>
          <w:b/>
          <w:bCs/>
          <w:u w:val="single"/>
        </w:rPr>
        <w:t>Quietist</w:t>
      </w:r>
      <w:r>
        <w:t xml:space="preserve">: </w:t>
      </w:r>
      <w:r w:rsidR="00CD0347">
        <w:t>adopts</w:t>
      </w:r>
      <w:r>
        <w:t xml:space="preserve"> </w:t>
      </w:r>
      <w:r w:rsidRPr="00716424">
        <w:rPr>
          <w:b/>
          <w:bCs/>
        </w:rPr>
        <w:t>strategies of accommodation</w:t>
      </w:r>
      <w:r>
        <w:t>,</w:t>
      </w:r>
      <w:r w:rsidR="00CD0347">
        <w:t xml:space="preserve"> </w:t>
      </w:r>
      <w:r w:rsidR="003A564B">
        <w:t xml:space="preserve">seeking to </w:t>
      </w:r>
      <w:r w:rsidR="00CD0347">
        <w:t>balancing discreet</w:t>
      </w:r>
      <w:r w:rsidR="003A564B">
        <w:t>, gentle,</w:t>
      </w:r>
      <w:r w:rsidR="00CD0347">
        <w:t xml:space="preserve"> ways of living </w:t>
      </w:r>
      <w:r w:rsidR="003A564B">
        <w:t>in</w:t>
      </w:r>
      <w:r w:rsidR="00CD0347">
        <w:t xml:space="preserve"> the</w:t>
      </w:r>
      <w:r w:rsidR="003A564B">
        <w:t xml:space="preserve"> </w:t>
      </w:r>
      <w:r w:rsidR="00CD0347">
        <w:t>world</w:t>
      </w:r>
      <w:r>
        <w:t xml:space="preserve"> while avoiding </w:t>
      </w:r>
      <w:r w:rsidR="00FC6612">
        <w:t xml:space="preserve">more </w:t>
      </w:r>
      <w:r>
        <w:t>corrupting ‘entanglements’ (Zhuāngzǐ).</w:t>
      </w:r>
    </w:p>
    <w:p w14:paraId="17C5AB51" w14:textId="77777777" w:rsidR="00D441F7" w:rsidRDefault="00D441F7" w:rsidP="00C7592C">
      <w:pPr>
        <w:spacing w:line="276" w:lineRule="auto"/>
      </w:pPr>
    </w:p>
    <w:p w14:paraId="1549F2AF" w14:textId="3D5B5B49" w:rsidR="00D441F7" w:rsidRDefault="00D441F7" w:rsidP="00C7592C">
      <w:pPr>
        <w:spacing w:line="276" w:lineRule="auto"/>
        <w:jc w:val="both"/>
      </w:pPr>
      <w:r>
        <w:t xml:space="preserve">   Each stance (i) admits of sub-variations and (ii) can be combined in various ways, and (iii) do not presuppose voluntarism about stances (Buddhism as radical-Fugitivism-cum-Quietism). </w:t>
      </w:r>
    </w:p>
    <w:p w14:paraId="74C9C9B2" w14:textId="168B6DBE" w:rsidR="00E36566" w:rsidRDefault="00E36566" w:rsidP="00C7592C">
      <w:pPr>
        <w:spacing w:line="276" w:lineRule="auto"/>
        <w:jc w:val="both"/>
      </w:pPr>
      <w:r>
        <w:t xml:space="preserve">  Some misanthropes inhabit a single stance (Cooper’s quietism), whereas others seem caught in painful oscillation between different stances: </w:t>
      </w:r>
      <w:r>
        <w:rPr>
          <w:b/>
          <w:bCs/>
        </w:rPr>
        <w:t xml:space="preserve">the misanthropic predicament </w:t>
      </w:r>
      <w:r w:rsidRPr="00CD6612">
        <w:t>(</w:t>
      </w:r>
      <w:proofErr w:type="gramStart"/>
      <w:r>
        <w:t>eg</w:t>
      </w:r>
      <w:proofErr w:type="gramEnd"/>
      <w:r>
        <w:t xml:space="preserve"> </w:t>
      </w:r>
      <w:r w:rsidRPr="00CD6612">
        <w:t>Norlock).</w:t>
      </w:r>
    </w:p>
    <w:p w14:paraId="50EFD626" w14:textId="3CFB2164" w:rsidR="00D441F7" w:rsidRDefault="00D441F7" w:rsidP="00C7592C">
      <w:pPr>
        <w:spacing w:line="276" w:lineRule="auto"/>
        <w:jc w:val="both"/>
        <w:rPr>
          <w:sz w:val="10"/>
          <w:szCs w:val="10"/>
        </w:rPr>
      </w:pPr>
    </w:p>
    <w:p w14:paraId="3BAE7B9C" w14:textId="77777777" w:rsidR="00C7592C" w:rsidRPr="00C7592C" w:rsidRDefault="00C7592C" w:rsidP="00C7592C">
      <w:pPr>
        <w:spacing w:line="276" w:lineRule="auto"/>
        <w:jc w:val="both"/>
        <w:rPr>
          <w:sz w:val="10"/>
          <w:szCs w:val="10"/>
        </w:rPr>
      </w:pPr>
    </w:p>
    <w:p w14:paraId="1BF760F3" w14:textId="77777777" w:rsidR="00D441F7" w:rsidRPr="00C7592C" w:rsidRDefault="00D441F7" w:rsidP="00C7592C">
      <w:pPr>
        <w:spacing w:line="276" w:lineRule="auto"/>
        <w:jc w:val="both"/>
        <w:rPr>
          <w:sz w:val="10"/>
          <w:szCs w:val="10"/>
        </w:rPr>
      </w:pPr>
    </w:p>
    <w:p w14:paraId="7C4F0864" w14:textId="6F89DA5F" w:rsidR="00D441F7" w:rsidRPr="00723C04" w:rsidRDefault="00E36566" w:rsidP="00C7592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Closing thoughts.</w:t>
      </w:r>
    </w:p>
    <w:p w14:paraId="61B436DB" w14:textId="77777777" w:rsidR="00D441F7" w:rsidRPr="00E40C34" w:rsidRDefault="00D441F7" w:rsidP="00C7592C">
      <w:pPr>
        <w:pStyle w:val="ListParagraph"/>
        <w:spacing w:line="276" w:lineRule="auto"/>
        <w:jc w:val="both"/>
        <w:rPr>
          <w:rFonts w:ascii="Calibri" w:eastAsia="Times New Roman" w:hAnsi="Calibri" w:cs="Calibri"/>
          <w:color w:val="2A3235"/>
          <w:sz w:val="10"/>
          <w:szCs w:val="10"/>
          <w:lang w:eastAsia="en-GB"/>
        </w:rPr>
      </w:pPr>
    </w:p>
    <w:p w14:paraId="4714093B" w14:textId="096A9595" w:rsidR="00B87FF9" w:rsidRPr="00B87FF9" w:rsidRDefault="00CD6612" w:rsidP="00C7592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n-GB"/>
        </w:rPr>
        <w:t xml:space="preserve">          </w:t>
      </w:r>
      <w:r w:rsidR="00114FF1">
        <w:rPr>
          <w:rFonts w:ascii="Calibri" w:eastAsia="Times New Roman" w:hAnsi="Calibri" w:cs="Calibri"/>
          <w:lang w:eastAsia="en-GB"/>
        </w:rPr>
        <w:t xml:space="preserve"> </w:t>
      </w:r>
      <w:r w:rsidR="00340E15">
        <w:rPr>
          <w:rFonts w:ascii="Calibri" w:eastAsia="Times New Roman" w:hAnsi="Calibri" w:cs="Calibri"/>
          <w:lang w:eastAsia="en-GB"/>
        </w:rPr>
        <w:t xml:space="preserve">Many possible connections to Christianity: soteriology, sin, </w:t>
      </w:r>
      <w:r w:rsidR="00114FF1">
        <w:rPr>
          <w:rFonts w:ascii="Calibri" w:eastAsia="Times New Roman" w:hAnsi="Calibri" w:cs="Calibri"/>
          <w:lang w:eastAsia="en-GB"/>
        </w:rPr>
        <w:t xml:space="preserve">Fall, </w:t>
      </w:r>
      <w:r w:rsidR="00340E15">
        <w:rPr>
          <w:rFonts w:ascii="Calibri" w:eastAsia="Times New Roman" w:hAnsi="Calibri" w:cs="Calibri"/>
          <w:lang w:eastAsia="en-GB"/>
        </w:rPr>
        <w:t xml:space="preserve">redemption, </w:t>
      </w:r>
      <w:r w:rsidR="00340E15" w:rsidRPr="00340E15">
        <w:rPr>
          <w:rFonts w:ascii="Calibri" w:eastAsia="Times New Roman" w:hAnsi="Calibri" w:cs="Calibri"/>
          <w:i/>
          <w:iCs/>
          <w:lang w:eastAsia="en-GB"/>
        </w:rPr>
        <w:t>imago Dei</w:t>
      </w:r>
      <w:r w:rsidR="00340E15">
        <w:rPr>
          <w:rFonts w:ascii="Calibri" w:eastAsia="Times New Roman" w:hAnsi="Calibri" w:cs="Calibri"/>
          <w:lang w:eastAsia="en-GB"/>
        </w:rPr>
        <w:t xml:space="preserve">, and lucid apprehension of </w:t>
      </w:r>
      <w:r w:rsidR="00340E15" w:rsidRPr="00340E15">
        <w:rPr>
          <w:rFonts w:ascii="Calibri" w:hAnsi="Calibri" w:cs="Calibri"/>
        </w:rPr>
        <w:t xml:space="preserve">‘the dynamics of sin and the deep network of its combined forces’ </w:t>
      </w:r>
      <w:r w:rsidR="00340E15">
        <w:rPr>
          <w:rFonts w:ascii="Calibri" w:hAnsi="Calibri" w:cs="Calibri"/>
        </w:rPr>
        <w:t>in human life as it has come to be</w:t>
      </w:r>
      <w:r w:rsidR="00340E15" w:rsidRPr="00340E15">
        <w:rPr>
          <w:rFonts w:ascii="Calibri" w:hAnsi="Calibri" w:cs="Calibri"/>
        </w:rPr>
        <w:t xml:space="preserve"> (DeYoung)</w:t>
      </w:r>
      <w:r w:rsidR="001B6332">
        <w:rPr>
          <w:rFonts w:ascii="Calibri" w:hAnsi="Calibri" w:cs="Calibri"/>
        </w:rPr>
        <w:t>.</w:t>
      </w:r>
      <w:r w:rsidR="00FC6612">
        <w:rPr>
          <w:rFonts w:ascii="Calibri" w:hAnsi="Calibri" w:cs="Calibri"/>
        </w:rPr>
        <w:t xml:space="preserve"> ‘Good news’ incorporates </w:t>
      </w:r>
      <w:r w:rsidR="00FC6612" w:rsidRPr="00FC6612">
        <w:rPr>
          <w:rFonts w:ascii="Calibri" w:eastAsia="Times New Roman" w:hAnsi="Calibri" w:cs="Calibri"/>
          <w:lang w:eastAsia="en-GB"/>
        </w:rPr>
        <w:t>‘</w:t>
      </w:r>
      <w:r w:rsidR="00B87FF9" w:rsidRPr="00B87FF9">
        <w:rPr>
          <w:rFonts w:ascii="Calibri" w:eastAsia="Times New Roman" w:hAnsi="Calibri" w:cs="Calibri"/>
          <w:lang w:eastAsia="en-GB"/>
        </w:rPr>
        <w:t>the assumption of a human race in some serious need or lack or crisis,</w:t>
      </w:r>
      <w:r w:rsidR="00FC6612" w:rsidRPr="00FC6612">
        <w:rPr>
          <w:rFonts w:ascii="Calibri" w:eastAsia="Times New Roman" w:hAnsi="Calibri" w:cs="Calibri"/>
          <w:lang w:eastAsia="en-GB"/>
        </w:rPr>
        <w:t xml:space="preserve"> </w:t>
      </w:r>
      <w:r w:rsidR="00B87FF9" w:rsidRPr="00B87FF9">
        <w:rPr>
          <w:rFonts w:ascii="Calibri" w:eastAsia="Times New Roman" w:hAnsi="Calibri" w:cs="Calibri"/>
          <w:lang w:eastAsia="en-GB"/>
        </w:rPr>
        <w:t>whether it is aware of it or not</w:t>
      </w:r>
      <w:r w:rsidR="00FC6612" w:rsidRPr="00FC6612">
        <w:rPr>
          <w:rFonts w:ascii="Calibri" w:eastAsia="Times New Roman" w:hAnsi="Calibri" w:cs="Calibri"/>
          <w:lang w:eastAsia="en-GB"/>
        </w:rPr>
        <w:t>’</w:t>
      </w:r>
      <w:r w:rsidR="00B87FF9" w:rsidRPr="00B87FF9">
        <w:rPr>
          <w:rFonts w:ascii="Calibri" w:eastAsia="Times New Roman" w:hAnsi="Calibri" w:cs="Calibri"/>
          <w:lang w:eastAsia="en-GB"/>
        </w:rPr>
        <w:t xml:space="preserve"> (Hart</w:t>
      </w:r>
      <w:r w:rsidR="00FC6612" w:rsidRPr="00FC6612">
        <w:rPr>
          <w:rFonts w:ascii="Calibri" w:eastAsia="Times New Roman" w:hAnsi="Calibri" w:cs="Calibri"/>
          <w:lang w:eastAsia="en-GB"/>
        </w:rPr>
        <w:t>)</w:t>
      </w:r>
    </w:p>
    <w:p w14:paraId="3A6C4DC1" w14:textId="77777777" w:rsidR="00925689" w:rsidRPr="00925689" w:rsidRDefault="00925689" w:rsidP="00C7592C">
      <w:pPr>
        <w:spacing w:line="276" w:lineRule="auto"/>
        <w:jc w:val="both"/>
        <w:rPr>
          <w:rFonts w:ascii="Calibri" w:eastAsia="Times New Roman" w:hAnsi="Calibri" w:cs="Calibri"/>
          <w:sz w:val="10"/>
          <w:szCs w:val="10"/>
          <w:lang w:eastAsia="en-GB"/>
        </w:rPr>
      </w:pPr>
    </w:p>
    <w:p w14:paraId="354366D5" w14:textId="35B4612A" w:rsidR="00925689" w:rsidRPr="00925689" w:rsidRDefault="00D441F7" w:rsidP="00E36566">
      <w:pPr>
        <w:spacing w:line="276" w:lineRule="auto"/>
        <w:jc w:val="both"/>
      </w:pPr>
      <w:r>
        <w:rPr>
          <w:rFonts w:ascii="Calibri" w:eastAsia="Times New Roman" w:hAnsi="Calibri" w:cs="Calibri"/>
          <w:lang w:eastAsia="en-GB"/>
        </w:rPr>
        <w:t xml:space="preserve"> </w:t>
      </w:r>
      <w:r w:rsidR="00E36566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If this is right,</w:t>
      </w:r>
      <w:r>
        <w:t xml:space="preserve"> misanthropy is more complex and more interesting than is generally supposed</w:t>
      </w:r>
      <w:r w:rsidR="00E36566">
        <w:t>, with richer connections to Christianity than is currently realised.</w:t>
      </w:r>
    </w:p>
    <w:p w14:paraId="22067222" w14:textId="77777777" w:rsidR="00D441F7" w:rsidRPr="00C7592C" w:rsidRDefault="00D441F7" w:rsidP="00C7592C">
      <w:pPr>
        <w:spacing w:line="276" w:lineRule="auto"/>
        <w:jc w:val="both"/>
        <w:rPr>
          <w:b/>
          <w:bCs/>
          <w:sz w:val="10"/>
          <w:szCs w:val="10"/>
        </w:rPr>
      </w:pPr>
    </w:p>
    <w:p w14:paraId="6C5551FF" w14:textId="77777777" w:rsidR="00D441F7" w:rsidRPr="00A9175B" w:rsidRDefault="00D441F7" w:rsidP="00C7592C">
      <w:pPr>
        <w:spacing w:line="276" w:lineRule="auto"/>
        <w:jc w:val="right"/>
      </w:pPr>
      <w:r w:rsidRPr="00A9175B">
        <w:t>IJK</w:t>
      </w:r>
      <w:r w:rsidRPr="00A9175B">
        <w:br w:type="page"/>
      </w:r>
    </w:p>
    <w:p w14:paraId="2037A710" w14:textId="77777777" w:rsidR="00D441F7" w:rsidRDefault="00D441F7" w:rsidP="00C7592C">
      <w:pPr>
        <w:spacing w:line="276" w:lineRule="auto"/>
        <w:jc w:val="both"/>
        <w:rPr>
          <w:b/>
          <w:bCs/>
        </w:rPr>
      </w:pPr>
    </w:p>
    <w:p w14:paraId="1210DB5F" w14:textId="77777777" w:rsidR="00D441F7" w:rsidRDefault="00D441F7" w:rsidP="00C7592C">
      <w:pPr>
        <w:spacing w:line="276" w:lineRule="auto"/>
        <w:jc w:val="both"/>
      </w:pPr>
      <w:r>
        <w:rPr>
          <w:b/>
          <w:bCs/>
        </w:rPr>
        <w:t>Works cited</w:t>
      </w:r>
      <w:r>
        <w:t xml:space="preserve"> </w:t>
      </w:r>
    </w:p>
    <w:p w14:paraId="2BBC74B9" w14:textId="77777777" w:rsidR="00D441F7" w:rsidRDefault="00D441F7" w:rsidP="00C759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D6B34C" w14:textId="77777777" w:rsidR="00D441F7" w:rsidRPr="008A1CA9" w:rsidRDefault="00D441F7" w:rsidP="00C7592C">
      <w:pPr>
        <w:pStyle w:val="EndnoteText"/>
        <w:spacing w:line="276" w:lineRule="auto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Bregman, Rutger.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Humankind: A Hopeful History </w:t>
      </w:r>
      <w:r w:rsidRPr="008A1CA9">
        <w:rPr>
          <w:rFonts w:ascii="Calibri" w:hAnsi="Calibri" w:cs="Calibri"/>
          <w:sz w:val="22"/>
          <w:szCs w:val="22"/>
        </w:rPr>
        <w:t>(London: Bloomsbury, 2020).</w:t>
      </w:r>
    </w:p>
    <w:p w14:paraId="02A95F80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3D76FF64" w14:textId="77777777" w:rsidR="00207B76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Cooper, David E.</w:t>
      </w:r>
      <w:r>
        <w:rPr>
          <w:rFonts w:ascii="Calibri" w:hAnsi="Calibri" w:cs="Calibri"/>
          <w:sz w:val="22"/>
          <w:szCs w:val="22"/>
        </w:rPr>
        <w:t xml:space="preserve"> </w:t>
      </w:r>
      <w:r w:rsidRPr="00207B76">
        <w:rPr>
          <w:rFonts w:ascii="Calibri" w:hAnsi="Calibri" w:cs="Calibri"/>
          <w:i/>
          <w:iCs/>
          <w:sz w:val="22"/>
          <w:szCs w:val="22"/>
        </w:rPr>
        <w:t>Animals and Misanthropy</w:t>
      </w:r>
      <w:r w:rsidRPr="00207B76">
        <w:rPr>
          <w:rFonts w:ascii="Calibri" w:hAnsi="Calibri" w:cs="Calibri"/>
          <w:sz w:val="22"/>
          <w:szCs w:val="22"/>
        </w:rPr>
        <w:t xml:space="preserve"> (London: Routledge, 2018).</w:t>
      </w:r>
    </w:p>
    <w:p w14:paraId="74D02AD7" w14:textId="77777777" w:rsidR="00207B76" w:rsidRDefault="00207B76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78D03208" w14:textId="193080F6" w:rsidR="00207B76" w:rsidRPr="00207B76" w:rsidRDefault="00207B76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207B76">
        <w:rPr>
          <w:rFonts w:ascii="Calibri" w:hAnsi="Calibri" w:cs="Calibri"/>
          <w:sz w:val="22"/>
          <w:szCs w:val="22"/>
        </w:rPr>
        <w:t xml:space="preserve">DeYoung, Rebecca. </w:t>
      </w:r>
      <w:r w:rsidRPr="00207B76">
        <w:rPr>
          <w:rFonts w:ascii="Calibri" w:hAnsi="Calibri" w:cs="Calibri"/>
          <w:i/>
          <w:iCs/>
          <w:sz w:val="22"/>
          <w:szCs w:val="22"/>
        </w:rPr>
        <w:t>Glittering Vices: A New Look at the Seven Deadly Sins and Their Remedies</w:t>
      </w:r>
      <w:r w:rsidRPr="00207B76">
        <w:rPr>
          <w:rFonts w:ascii="Calibri" w:hAnsi="Calibri" w:cs="Calibri"/>
          <w:sz w:val="22"/>
          <w:szCs w:val="22"/>
        </w:rPr>
        <w:t>, 2</w:t>
      </w:r>
      <w:r w:rsidRPr="00207B76">
        <w:rPr>
          <w:rFonts w:ascii="Calibri" w:hAnsi="Calibri" w:cs="Calibri"/>
          <w:position w:val="6"/>
          <w:sz w:val="22"/>
          <w:szCs w:val="22"/>
        </w:rPr>
        <w:t xml:space="preserve">nd </w:t>
      </w:r>
      <w:r w:rsidRPr="00207B76">
        <w:rPr>
          <w:rFonts w:ascii="Calibri" w:hAnsi="Calibri" w:cs="Calibri"/>
          <w:sz w:val="22"/>
          <w:szCs w:val="22"/>
        </w:rPr>
        <w:t>edition</w:t>
      </w:r>
      <w:r w:rsidRPr="00207B76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207B76">
        <w:rPr>
          <w:rFonts w:ascii="Calibri" w:hAnsi="Calibri" w:cs="Calibri"/>
          <w:sz w:val="22"/>
          <w:szCs w:val="22"/>
        </w:rPr>
        <w:t>(</w:t>
      </w:r>
      <w:r w:rsidRPr="00207B76">
        <w:rPr>
          <w:rFonts w:ascii="Calibri" w:hAnsi="Calibri" w:cs="Calibri"/>
          <w:sz w:val="22"/>
          <w:szCs w:val="22"/>
        </w:rPr>
        <w:t>Grand Rapids, MI: Brazos Press</w:t>
      </w:r>
      <w:r w:rsidRPr="00207B76">
        <w:rPr>
          <w:rFonts w:ascii="Calibri" w:hAnsi="Calibri" w:cs="Calibri"/>
          <w:sz w:val="22"/>
          <w:szCs w:val="22"/>
        </w:rPr>
        <w:t>, 2020)</w:t>
      </w:r>
      <w:r w:rsidRPr="00207B76">
        <w:rPr>
          <w:rFonts w:ascii="Calibri" w:hAnsi="Calibri" w:cs="Calibri"/>
          <w:sz w:val="22"/>
          <w:szCs w:val="22"/>
        </w:rPr>
        <w:t xml:space="preserve">. </w:t>
      </w:r>
    </w:p>
    <w:p w14:paraId="3ECB1423" w14:textId="77777777" w:rsidR="00207B76" w:rsidRPr="00207B76" w:rsidRDefault="00207B76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365C84B3" w14:textId="77777777" w:rsidR="00D441F7" w:rsidRPr="00207B76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207B76">
        <w:rPr>
          <w:rFonts w:ascii="Calibri" w:hAnsi="Calibri" w:cs="Calibri"/>
          <w:sz w:val="22"/>
          <w:szCs w:val="22"/>
        </w:rPr>
        <w:t xml:space="preserve">Gerber, Lisa. What Is So Bad about Misanthropy? </w:t>
      </w:r>
      <w:r w:rsidRPr="00207B76">
        <w:rPr>
          <w:rFonts w:ascii="Calibri" w:hAnsi="Calibri" w:cs="Calibri"/>
          <w:i/>
          <w:iCs/>
          <w:sz w:val="22"/>
          <w:szCs w:val="22"/>
        </w:rPr>
        <w:t>Environmental Ethics</w:t>
      </w:r>
      <w:r w:rsidRPr="00207B76">
        <w:rPr>
          <w:rFonts w:ascii="Calibri" w:hAnsi="Calibri" w:cs="Calibri"/>
          <w:sz w:val="22"/>
          <w:szCs w:val="22"/>
        </w:rPr>
        <w:t xml:space="preserve"> 24 (2002): 41-55.</w:t>
      </w:r>
      <w:r w:rsidRPr="00207B76">
        <w:rPr>
          <w:rFonts w:ascii="Calibri" w:hAnsi="Calibri" w:cs="Calibri"/>
          <w:sz w:val="22"/>
          <w:szCs w:val="22"/>
        </w:rPr>
        <w:br/>
      </w:r>
    </w:p>
    <w:p w14:paraId="165B9A0D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Gibson, Andrew. </w:t>
      </w:r>
      <w:r w:rsidRPr="008A1CA9">
        <w:rPr>
          <w:rFonts w:ascii="Calibri" w:hAnsi="Calibri" w:cs="Calibri"/>
          <w:i/>
          <w:iCs/>
          <w:sz w:val="22"/>
          <w:szCs w:val="22"/>
        </w:rPr>
        <w:t>Misanthropy: The Critique of Humanity</w:t>
      </w:r>
      <w:r w:rsidRPr="008A1CA9">
        <w:rPr>
          <w:rFonts w:ascii="Calibri" w:hAnsi="Calibri" w:cs="Calibri"/>
          <w:sz w:val="22"/>
          <w:szCs w:val="22"/>
        </w:rPr>
        <w:t xml:space="preserve"> (London: Bloomsbury, 2012).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196D6A8C" w14:textId="77777777" w:rsidR="00B87FF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Harris, Joseph</w:t>
      </w:r>
      <w:r>
        <w:rPr>
          <w:rFonts w:ascii="Calibri" w:hAnsi="Calibri" w:cs="Calibri"/>
          <w:sz w:val="22"/>
          <w:szCs w:val="22"/>
        </w:rPr>
        <w:t xml:space="preserve">. </w:t>
      </w:r>
      <w:r w:rsidRPr="008A1CA9">
        <w:rPr>
          <w:rFonts w:ascii="Calibri" w:hAnsi="Calibri" w:cs="Calibri"/>
          <w:i/>
          <w:iCs/>
          <w:sz w:val="22"/>
          <w:szCs w:val="22"/>
        </w:rPr>
        <w:t>Misanthropy in the Age of Reason</w:t>
      </w:r>
      <w:r w:rsidRPr="008A1CA9">
        <w:rPr>
          <w:rFonts w:ascii="Calibri" w:hAnsi="Calibri" w:cs="Calibri"/>
          <w:sz w:val="22"/>
          <w:szCs w:val="22"/>
        </w:rPr>
        <w:t xml:space="preserve"> (Oxford: Oxford University Press, 2022)</w:t>
      </w:r>
    </w:p>
    <w:p w14:paraId="4DF1BB45" w14:textId="77777777" w:rsidR="00B87FF9" w:rsidRDefault="00B87FF9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036DC591" w14:textId="77777777" w:rsidR="00B87FF9" w:rsidRDefault="00B87FF9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B87FF9">
        <w:rPr>
          <w:rFonts w:ascii="Calibri" w:hAnsi="Calibri" w:cs="Calibri"/>
          <w:sz w:val="22"/>
          <w:szCs w:val="22"/>
        </w:rPr>
        <w:t>Hart, Trevor. Redemption and Fall</w:t>
      </w:r>
      <w:r w:rsidRPr="00B87FF9">
        <w:rPr>
          <w:rFonts w:ascii="Calibri" w:hAnsi="Calibri" w:cs="Calibri"/>
          <w:sz w:val="22"/>
          <w:szCs w:val="22"/>
        </w:rPr>
        <w:t>.</w:t>
      </w:r>
      <w:r w:rsidRPr="00B87FF9">
        <w:rPr>
          <w:rFonts w:ascii="Calibri" w:hAnsi="Calibri" w:cs="Calibri"/>
          <w:sz w:val="22"/>
          <w:szCs w:val="22"/>
        </w:rPr>
        <w:t xml:space="preserve"> </w:t>
      </w:r>
      <w:r w:rsidRPr="00B87FF9">
        <w:rPr>
          <w:rFonts w:ascii="Calibri" w:hAnsi="Calibri" w:cs="Calibri"/>
          <w:i/>
          <w:iCs/>
          <w:sz w:val="22"/>
          <w:szCs w:val="22"/>
        </w:rPr>
        <w:t>The Cambridge Companion to Christian Doctrine</w:t>
      </w:r>
      <w:r w:rsidRPr="00B87FF9">
        <w:rPr>
          <w:rFonts w:ascii="Calibri" w:hAnsi="Calibri" w:cs="Calibri"/>
          <w:sz w:val="22"/>
          <w:szCs w:val="22"/>
        </w:rPr>
        <w:t>, edited by Colin E. Gunton</w:t>
      </w:r>
      <w:r w:rsidRPr="00B87FF9">
        <w:rPr>
          <w:rFonts w:ascii="Calibri" w:hAnsi="Calibri" w:cs="Calibri"/>
          <w:sz w:val="22"/>
          <w:szCs w:val="22"/>
        </w:rPr>
        <w:t xml:space="preserve"> (</w:t>
      </w:r>
      <w:r w:rsidRPr="00B87FF9">
        <w:rPr>
          <w:rFonts w:ascii="Calibri" w:hAnsi="Calibri" w:cs="Calibri"/>
          <w:sz w:val="22"/>
          <w:szCs w:val="22"/>
        </w:rPr>
        <w:t>Cambridge: Cambridge University Press</w:t>
      </w:r>
      <w:r w:rsidRPr="00B87FF9">
        <w:rPr>
          <w:rFonts w:ascii="Calibri" w:hAnsi="Calibri" w:cs="Calibri"/>
          <w:sz w:val="22"/>
          <w:szCs w:val="22"/>
        </w:rPr>
        <w:t>, 1997), 189-206</w:t>
      </w:r>
      <w:r w:rsidRPr="00B87FF9">
        <w:rPr>
          <w:rFonts w:ascii="Calibri" w:hAnsi="Calibri" w:cs="Calibri"/>
          <w:sz w:val="22"/>
          <w:szCs w:val="22"/>
        </w:rPr>
        <w:t xml:space="preserve">. </w:t>
      </w:r>
    </w:p>
    <w:p w14:paraId="473367BD" w14:textId="77777777" w:rsidR="00B87FF9" w:rsidRDefault="00B87FF9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32241D21" w14:textId="2540EF92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Kidd, Ian James.</w:t>
      </w:r>
      <w:r w:rsidRPr="008A1CA9">
        <w:rPr>
          <w:rFonts w:ascii="Calibri" w:hAnsi="Calibri" w:cs="Calibri"/>
          <w:sz w:val="22"/>
          <w:szCs w:val="22"/>
        </w:rPr>
        <w:t xml:space="preserve"> Humankind, Human Nature, and Misanthropy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3539D5">
        <w:rPr>
          <w:rFonts w:ascii="Calibri" w:hAnsi="Calibri" w:cs="Calibri"/>
          <w:i/>
          <w:iCs/>
          <w:sz w:val="22"/>
          <w:szCs w:val="22"/>
        </w:rPr>
        <w:t>Metascience</w:t>
      </w:r>
      <w:r w:rsidRPr="008A1CA9">
        <w:rPr>
          <w:rFonts w:ascii="Calibri" w:hAnsi="Calibri" w:cs="Calibri"/>
          <w:sz w:val="22"/>
          <w:szCs w:val="22"/>
        </w:rPr>
        <w:t xml:space="preserve"> 29 (2020): 505–508.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2E7E4D7C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Kidd, Ian James.</w:t>
      </w:r>
      <w:r w:rsidRPr="008A1CA9">
        <w:rPr>
          <w:rFonts w:ascii="Calibri" w:hAnsi="Calibri" w:cs="Calibri"/>
          <w:sz w:val="22"/>
          <w:szCs w:val="22"/>
        </w:rPr>
        <w:t xml:space="preserve"> Varieties of Philosophical Misanthropy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Journal of Philosophical Research </w:t>
      </w:r>
      <w:r w:rsidRPr="008A1CA9">
        <w:rPr>
          <w:rFonts w:ascii="Calibri" w:hAnsi="Calibri" w:cs="Calibri"/>
          <w:sz w:val="22"/>
          <w:szCs w:val="22"/>
        </w:rPr>
        <w:t>46 (2021): 27-44.</w:t>
      </w:r>
    </w:p>
    <w:p w14:paraId="3E6F675D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52DD220B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Kidd, Ian James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Misanthropy and the Hatred of Humankind</w:t>
      </w:r>
      <w:r>
        <w:rPr>
          <w:rFonts w:ascii="Calibri" w:hAnsi="Calibri" w:cs="Calibri"/>
          <w:sz w:val="22"/>
          <w:szCs w:val="22"/>
        </w:rPr>
        <w:t xml:space="preserve">. </w:t>
      </w:r>
      <w:r w:rsidRPr="008A1CA9">
        <w:rPr>
          <w:rFonts w:ascii="Calibri" w:hAnsi="Calibri" w:cs="Calibri"/>
          <w:sz w:val="22"/>
          <w:szCs w:val="22"/>
        </w:rPr>
        <w:t xml:space="preserve">Noell Birondo (ed.),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The Moral Psychology of Hatred </w:t>
      </w:r>
      <w:r w:rsidRPr="008A1CA9">
        <w:rPr>
          <w:rFonts w:ascii="Calibri" w:hAnsi="Calibri" w:cs="Calibri"/>
          <w:sz w:val="22"/>
          <w:szCs w:val="22"/>
        </w:rPr>
        <w:t>(New York: Rowman &amp; Littlefield, 2022), 75-98.</w:t>
      </w:r>
    </w:p>
    <w:p w14:paraId="086FCFE0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4486699D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Kidd, Ian James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From Vices to Corruption to Misanthropy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>TheoLogica</w:t>
      </w:r>
      <w:r>
        <w:rPr>
          <w:rFonts w:ascii="Calibri" w:hAnsi="Calibri" w:cs="Calibri"/>
          <w:sz w:val="22"/>
          <w:szCs w:val="22"/>
        </w:rPr>
        <w:t xml:space="preserve"> 7.2 (2023): 1-23.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738E9070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Norlock, Kathryn J. Perpetual Struggle.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Hypatia </w:t>
      </w:r>
      <w:r w:rsidRPr="008A1CA9">
        <w:rPr>
          <w:rFonts w:ascii="Calibri" w:hAnsi="Calibri" w:cs="Calibri"/>
          <w:sz w:val="22"/>
          <w:szCs w:val="22"/>
        </w:rPr>
        <w:t xml:space="preserve">34(1) (2019): 6–19. </w:t>
      </w:r>
    </w:p>
    <w:p w14:paraId="3F4801D0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487A5C68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Norlock, Kathryn J. Misanthropy and Misanthropes. </w:t>
      </w:r>
      <w:r w:rsidRPr="008A1CA9">
        <w:rPr>
          <w:rFonts w:ascii="Calibri" w:hAnsi="Calibri" w:cs="Calibri"/>
          <w:i/>
          <w:iCs/>
          <w:sz w:val="22"/>
          <w:szCs w:val="22"/>
        </w:rPr>
        <w:t>Journal of Philosophical Research</w:t>
      </w:r>
      <w:r w:rsidRPr="008A1CA9">
        <w:rPr>
          <w:rFonts w:ascii="Calibri" w:hAnsi="Calibri" w:cs="Calibri"/>
          <w:sz w:val="22"/>
          <w:szCs w:val="22"/>
        </w:rPr>
        <w:t xml:space="preserve"> 46 (2021</w:t>
      </w:r>
      <w:r>
        <w:rPr>
          <w:rFonts w:ascii="Calibri" w:hAnsi="Calibri" w:cs="Calibri"/>
          <w:sz w:val="22"/>
          <w:szCs w:val="22"/>
        </w:rPr>
        <w:t>)</w:t>
      </w:r>
      <w:r w:rsidRPr="008A1CA9">
        <w:rPr>
          <w:rFonts w:ascii="Calibri" w:hAnsi="Calibri" w:cs="Calibri"/>
          <w:sz w:val="22"/>
          <w:szCs w:val="22"/>
        </w:rPr>
        <w:t xml:space="preserve">: 45–58. </w:t>
      </w:r>
    </w:p>
    <w:p w14:paraId="1937E570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1069C37F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Shklar, Judith.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Ordinary Vices </w:t>
      </w:r>
      <w:r w:rsidRPr="008A1CA9">
        <w:rPr>
          <w:rFonts w:ascii="Calibri" w:hAnsi="Calibri" w:cs="Calibri"/>
          <w:sz w:val="22"/>
          <w:szCs w:val="22"/>
        </w:rPr>
        <w:t>(Harvard: Harvard University Press, 1984).</w:t>
      </w:r>
    </w:p>
    <w:p w14:paraId="447D8F64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1FF2C845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Svoboda, Toby. </w:t>
      </w:r>
      <w:r w:rsidRPr="008A1CA9">
        <w:rPr>
          <w:rFonts w:ascii="Calibri" w:hAnsi="Calibri" w:cs="Calibri"/>
          <w:i/>
          <w:iCs/>
          <w:sz w:val="22"/>
          <w:szCs w:val="22"/>
        </w:rPr>
        <w:t>A Philosophical Defense of</w:t>
      </w:r>
      <w:r w:rsidRPr="008A1CA9">
        <w:rPr>
          <w:rFonts w:ascii="Calibri" w:hAnsi="Calibri" w:cs="Calibri"/>
          <w:sz w:val="22"/>
          <w:szCs w:val="22"/>
        </w:rPr>
        <w:t xml:space="preserve"> Misanthropy (London: Routledge, 2022). </w:t>
      </w:r>
    </w:p>
    <w:p w14:paraId="3FF9C9D8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6CC147F2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Trullinger, Joseph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Kant’s Neglected Account of the Virtuous Solitary</w:t>
      </w:r>
      <w:r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>International Philosophical Quarterly</w:t>
      </w:r>
      <w:r w:rsidRPr="008A1CA9">
        <w:rPr>
          <w:rFonts w:ascii="Calibri" w:hAnsi="Calibri" w:cs="Calibri"/>
          <w:sz w:val="22"/>
          <w:szCs w:val="22"/>
        </w:rPr>
        <w:t xml:space="preserve"> 55(1): 67-83.</w:t>
      </w:r>
    </w:p>
    <w:p w14:paraId="4DF1FF02" w14:textId="77777777" w:rsidR="00D441F7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57D0BF60" w14:textId="77777777" w:rsidR="00D441F7" w:rsidRPr="008A1CA9" w:rsidRDefault="00D441F7" w:rsidP="00C7592C">
      <w:pPr>
        <w:spacing w:line="276" w:lineRule="auto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Kant’s remarks on misanthropy are found in his lectures on ethics, anthropology, and religion. </w:t>
      </w:r>
    </w:p>
    <w:p w14:paraId="7E4AA2EF" w14:textId="77777777" w:rsidR="0068141C" w:rsidRDefault="00E56457" w:rsidP="00C7592C">
      <w:pPr>
        <w:spacing w:line="276" w:lineRule="auto"/>
      </w:pPr>
    </w:p>
    <w:sectPr w:rsidR="0068141C" w:rsidSect="00C06E4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F6D3" w14:textId="77777777" w:rsidR="00E56457" w:rsidRDefault="00E56457">
      <w:r>
        <w:separator/>
      </w:r>
    </w:p>
  </w:endnote>
  <w:endnote w:type="continuationSeparator" w:id="0">
    <w:p w14:paraId="1BC4727B" w14:textId="77777777" w:rsidR="00E56457" w:rsidRDefault="00E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F3B1" w14:textId="77777777" w:rsidR="00E56457" w:rsidRDefault="00E56457">
      <w:r>
        <w:separator/>
      </w:r>
    </w:p>
  </w:footnote>
  <w:footnote w:type="continuationSeparator" w:id="0">
    <w:p w14:paraId="28D752C0" w14:textId="77777777" w:rsidR="00E56457" w:rsidRDefault="00E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0A2E" w14:textId="77777777" w:rsidR="003539D5" w:rsidRDefault="00597E7D">
    <w:pPr>
      <w:pStyle w:val="Header"/>
    </w:pPr>
    <w:r>
      <w:t xml:space="preserve">Ian James Kidd </w:t>
    </w:r>
    <w:r>
      <w:tab/>
    </w:r>
    <w:r>
      <w:tab/>
      <w:t xml:space="preserve"> www.ianjameskidd.weebly.com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C5A"/>
    <w:multiLevelType w:val="hybridMultilevel"/>
    <w:tmpl w:val="DD8AB250"/>
    <w:lvl w:ilvl="0" w:tplc="9CBC5EE4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B1F"/>
    <w:multiLevelType w:val="hybridMultilevel"/>
    <w:tmpl w:val="F61C2D02"/>
    <w:lvl w:ilvl="0" w:tplc="20420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FF1"/>
    <w:multiLevelType w:val="hybridMultilevel"/>
    <w:tmpl w:val="8788CBEC"/>
    <w:lvl w:ilvl="0" w:tplc="42C279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E557F"/>
    <w:multiLevelType w:val="multilevel"/>
    <w:tmpl w:val="755CAE70"/>
    <w:lvl w:ilvl="0">
      <w:start w:val="5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30317"/>
    <w:multiLevelType w:val="hybridMultilevel"/>
    <w:tmpl w:val="0DC2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39B9"/>
    <w:multiLevelType w:val="multilevel"/>
    <w:tmpl w:val="426A48E2"/>
    <w:lvl w:ilvl="0">
      <w:start w:val="6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45F21"/>
    <w:multiLevelType w:val="hybridMultilevel"/>
    <w:tmpl w:val="28EAF464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50F7"/>
    <w:multiLevelType w:val="hybridMultilevel"/>
    <w:tmpl w:val="BC62961C"/>
    <w:lvl w:ilvl="0" w:tplc="8A988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A18"/>
    <w:multiLevelType w:val="hybridMultilevel"/>
    <w:tmpl w:val="B7E68266"/>
    <w:lvl w:ilvl="0" w:tplc="746E198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DBD"/>
    <w:multiLevelType w:val="hybridMultilevel"/>
    <w:tmpl w:val="31E80D6A"/>
    <w:lvl w:ilvl="0" w:tplc="F788AD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F7"/>
    <w:rsid w:val="0003055C"/>
    <w:rsid w:val="00072689"/>
    <w:rsid w:val="00072873"/>
    <w:rsid w:val="000F6414"/>
    <w:rsid w:val="00114FF1"/>
    <w:rsid w:val="00133B0B"/>
    <w:rsid w:val="001B6332"/>
    <w:rsid w:val="00202EA3"/>
    <w:rsid w:val="00207B76"/>
    <w:rsid w:val="00267280"/>
    <w:rsid w:val="003135D8"/>
    <w:rsid w:val="00340E15"/>
    <w:rsid w:val="003613A2"/>
    <w:rsid w:val="00384804"/>
    <w:rsid w:val="003A564B"/>
    <w:rsid w:val="003A6865"/>
    <w:rsid w:val="0044658D"/>
    <w:rsid w:val="00597E7D"/>
    <w:rsid w:val="00711648"/>
    <w:rsid w:val="0074368D"/>
    <w:rsid w:val="007546E7"/>
    <w:rsid w:val="008246C7"/>
    <w:rsid w:val="00925689"/>
    <w:rsid w:val="00992EF8"/>
    <w:rsid w:val="00A704AE"/>
    <w:rsid w:val="00B87FF9"/>
    <w:rsid w:val="00C06E45"/>
    <w:rsid w:val="00C7592C"/>
    <w:rsid w:val="00C9522B"/>
    <w:rsid w:val="00CA4480"/>
    <w:rsid w:val="00CD0347"/>
    <w:rsid w:val="00CD6612"/>
    <w:rsid w:val="00CE3FDC"/>
    <w:rsid w:val="00D441F7"/>
    <w:rsid w:val="00DC05AE"/>
    <w:rsid w:val="00E234B1"/>
    <w:rsid w:val="00E36566"/>
    <w:rsid w:val="00E56457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3A34"/>
  <w14:defaultImageDpi w14:val="32767"/>
  <w15:chartTrackingRefBased/>
  <w15:docId w15:val="{427DBDCF-AAD2-DB4E-91E4-BDFB5F1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F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4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41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F7"/>
  </w:style>
  <w:style w:type="paragraph" w:styleId="NormalWeb">
    <w:name w:val="Normal (Web)"/>
    <w:basedOn w:val="Normal"/>
    <w:uiPriority w:val="99"/>
    <w:unhideWhenUsed/>
    <w:rsid w:val="00340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60</cp:revision>
  <dcterms:created xsi:type="dcterms:W3CDTF">2023-04-24T18:08:00Z</dcterms:created>
  <dcterms:modified xsi:type="dcterms:W3CDTF">2023-04-24T21:01:00Z</dcterms:modified>
</cp:coreProperties>
</file>