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0D42" w14:textId="76061EE7" w:rsidR="00F4708B" w:rsidRDefault="00F4708B" w:rsidP="00F4708B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F4708B">
        <w:rPr>
          <w:rFonts w:ascii="Calibri" w:hAnsi="Calibri" w:cs="Calibri"/>
          <w:b/>
          <w:bCs/>
          <w:color w:val="000000"/>
        </w:rPr>
        <w:t>The Complexity of Epistemic Injustice</w:t>
      </w:r>
    </w:p>
    <w:p w14:paraId="00B311A9" w14:textId="737B95A2" w:rsidR="00F4708B" w:rsidRPr="00F4708B" w:rsidRDefault="00F4708B" w:rsidP="00F4708B">
      <w:pPr>
        <w:spacing w:line="360" w:lineRule="auto"/>
        <w:rPr>
          <w:rFonts w:ascii="Calibri" w:hAnsi="Calibri" w:cs="Calibri"/>
          <w:b/>
          <w:bCs/>
          <w:i/>
          <w:iCs/>
          <w:color w:val="000000"/>
        </w:rPr>
      </w:pPr>
      <w:r w:rsidRPr="00F4708B">
        <w:rPr>
          <w:rFonts w:ascii="Calibri" w:hAnsi="Calibri" w:cs="Calibri"/>
          <w:color w:val="000000"/>
        </w:rPr>
        <w:t>Galway</w:t>
      </w:r>
      <w:r>
        <w:rPr>
          <w:rFonts w:ascii="Calibri" w:hAnsi="Calibri" w:cs="Calibri"/>
          <w:color w:val="000000"/>
        </w:rPr>
        <w:t xml:space="preserve"> 3/4/24</w:t>
      </w:r>
    </w:p>
    <w:p w14:paraId="10839CFF" w14:textId="77777777" w:rsidR="00F4708B" w:rsidRDefault="00F4708B" w:rsidP="00F4708B">
      <w:pPr>
        <w:spacing w:line="360" w:lineRule="auto"/>
        <w:rPr>
          <w:rFonts w:ascii="Calibri" w:hAnsi="Calibri" w:cs="Calibri"/>
          <w:color w:val="000000"/>
        </w:rPr>
      </w:pPr>
    </w:p>
    <w:p w14:paraId="11E47BAA" w14:textId="7ACF06A1" w:rsidR="00F4708B" w:rsidRPr="00F4708B" w:rsidRDefault="00F4708B" w:rsidP="00F4708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 w:rsidRPr="00A04CF2">
        <w:rPr>
          <w:rFonts w:ascii="Calibri" w:hAnsi="Calibri" w:cs="Calibri"/>
          <w:b/>
          <w:bCs/>
          <w:color w:val="000000"/>
          <w:u w:val="single"/>
        </w:rPr>
        <w:t>Preliminaries</w:t>
      </w:r>
      <w:r w:rsidRPr="00F4708B">
        <w:rPr>
          <w:rFonts w:ascii="Calibri" w:hAnsi="Calibri" w:cs="Calibri"/>
          <w:color w:val="000000"/>
        </w:rPr>
        <w:t>.</w:t>
      </w:r>
    </w:p>
    <w:p w14:paraId="0D7AC34C" w14:textId="20BBBB9F" w:rsidR="00F4708B" w:rsidRDefault="00A04CF2" w:rsidP="00A04CF2">
      <w:pPr>
        <w:spacing w:line="36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will explain the idea of epistemic injustice, then note </w:t>
      </w:r>
      <w:r w:rsidR="00BD727E">
        <w:rPr>
          <w:rFonts w:ascii="Calibri" w:hAnsi="Calibri" w:cs="Calibri"/>
          <w:color w:val="000000"/>
        </w:rPr>
        <w:t>some of its complexities.</w:t>
      </w:r>
    </w:p>
    <w:p w14:paraId="3D5D7397" w14:textId="77777777" w:rsidR="00F4708B" w:rsidRDefault="00F4708B" w:rsidP="00F4708B">
      <w:pPr>
        <w:spacing w:line="360" w:lineRule="auto"/>
        <w:rPr>
          <w:rFonts w:ascii="Calibri" w:hAnsi="Calibri" w:cs="Calibri"/>
          <w:color w:val="000000"/>
        </w:rPr>
      </w:pPr>
    </w:p>
    <w:p w14:paraId="366CC451" w14:textId="5A39694F" w:rsidR="00F4708B" w:rsidRPr="00A04CF2" w:rsidRDefault="00F4708B" w:rsidP="00F4708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u w:val="single"/>
        </w:rPr>
      </w:pPr>
      <w:r w:rsidRPr="00A04CF2">
        <w:rPr>
          <w:rFonts w:ascii="Calibri" w:hAnsi="Calibri" w:cs="Calibri"/>
          <w:b/>
          <w:bCs/>
          <w:color w:val="000000"/>
          <w:u w:val="single"/>
        </w:rPr>
        <w:t>The original account of epistemic injustice</w:t>
      </w:r>
      <w:r w:rsidRPr="00A04CF2">
        <w:rPr>
          <w:rFonts w:ascii="Calibri" w:hAnsi="Calibri" w:cs="Calibri"/>
          <w:color w:val="000000"/>
          <w:u w:val="single"/>
        </w:rPr>
        <w:t>.</w:t>
      </w:r>
    </w:p>
    <w:p w14:paraId="2D68E4E6" w14:textId="77777777" w:rsidR="00A04CF2" w:rsidRDefault="00A04CF2" w:rsidP="00A04CF2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Miranda </w:t>
      </w:r>
      <w:r w:rsidR="0099128D">
        <w:rPr>
          <w:rFonts w:ascii="Calibri" w:hAnsi="Calibri" w:cs="Calibri"/>
          <w:color w:val="000000"/>
        </w:rPr>
        <w:t xml:space="preserve">Fricker </w:t>
      </w:r>
      <w:r>
        <w:rPr>
          <w:rFonts w:ascii="Calibri" w:hAnsi="Calibri" w:cs="Calibri"/>
          <w:color w:val="000000"/>
        </w:rPr>
        <w:t xml:space="preserve">in her book </w:t>
      </w:r>
      <w:r>
        <w:rPr>
          <w:rFonts w:ascii="Calibri" w:hAnsi="Calibri" w:cs="Calibri"/>
          <w:i/>
          <w:iCs/>
          <w:color w:val="000000"/>
        </w:rPr>
        <w:t xml:space="preserve">Epistemic Injustice </w:t>
      </w:r>
      <w:r>
        <w:rPr>
          <w:rFonts w:ascii="Calibri" w:hAnsi="Calibri" w:cs="Calibri"/>
          <w:color w:val="000000"/>
        </w:rPr>
        <w:t xml:space="preserve">(2007) </w:t>
      </w:r>
      <w:r w:rsidR="0099128D">
        <w:rPr>
          <w:rFonts w:ascii="Calibri" w:hAnsi="Calibri" w:cs="Calibri"/>
          <w:color w:val="000000"/>
        </w:rPr>
        <w:t xml:space="preserve">described two kinds of epistemic injustice: </w:t>
      </w:r>
      <w:r w:rsidR="0099128D" w:rsidRPr="00A04CF2">
        <w:rPr>
          <w:rFonts w:ascii="Calibri" w:hAnsi="Calibri" w:cs="Calibri"/>
          <w:b/>
          <w:bCs/>
          <w:color w:val="000000"/>
        </w:rPr>
        <w:t>testimonial</w:t>
      </w:r>
      <w:r w:rsidR="0099128D">
        <w:rPr>
          <w:rFonts w:ascii="Calibri" w:hAnsi="Calibri" w:cs="Calibri"/>
          <w:color w:val="000000"/>
        </w:rPr>
        <w:t xml:space="preserve"> and </w:t>
      </w:r>
      <w:r w:rsidR="0099128D" w:rsidRPr="00A04CF2">
        <w:rPr>
          <w:rFonts w:ascii="Calibri" w:hAnsi="Calibri" w:cs="Calibri"/>
          <w:b/>
          <w:bCs/>
          <w:color w:val="000000"/>
        </w:rPr>
        <w:t>hermeneutical</w:t>
      </w:r>
      <w:r w:rsidR="0099128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5F3369DA" w14:textId="17E26FBE" w:rsidR="00A04CF2" w:rsidRDefault="00A04CF2" w:rsidP="00A04CF2">
      <w:pPr>
        <w:spacing w:line="360" w:lineRule="auto"/>
        <w:ind w:left="720"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‘Epistemic’ means anything to do with knowledge and knowing.</w:t>
      </w:r>
    </w:p>
    <w:p w14:paraId="6C436768" w14:textId="0AA9778F" w:rsidR="00F4708B" w:rsidRPr="00A04CF2" w:rsidRDefault="00A04CF2" w:rsidP="00A04CF2">
      <w:pPr>
        <w:spacing w:line="360" w:lineRule="auto"/>
        <w:ind w:left="720" w:firstLine="72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An injustice is something both </w:t>
      </w:r>
      <w:r w:rsidRPr="00A04CF2">
        <w:rPr>
          <w:rFonts w:ascii="Calibri" w:hAnsi="Calibri" w:cs="Calibri"/>
          <w:b/>
          <w:bCs/>
          <w:color w:val="000000"/>
        </w:rPr>
        <w:t>harmful</w:t>
      </w:r>
      <w:r>
        <w:rPr>
          <w:rFonts w:ascii="Calibri" w:hAnsi="Calibri" w:cs="Calibri"/>
          <w:color w:val="000000"/>
        </w:rPr>
        <w:t xml:space="preserve"> and </w:t>
      </w:r>
      <w:r w:rsidR="00BF1E05">
        <w:rPr>
          <w:rFonts w:ascii="Calibri" w:hAnsi="Calibri" w:cs="Calibri"/>
          <w:b/>
          <w:bCs/>
          <w:color w:val="000000"/>
        </w:rPr>
        <w:t>unfair</w:t>
      </w:r>
      <w:r>
        <w:rPr>
          <w:rFonts w:ascii="Calibri" w:hAnsi="Calibri" w:cs="Calibri"/>
          <w:color w:val="000000"/>
        </w:rPr>
        <w:t>.</w:t>
      </w:r>
    </w:p>
    <w:p w14:paraId="68777DAB" w14:textId="77777777" w:rsidR="00A04CF2" w:rsidRDefault="00A04CF2" w:rsidP="00F4708B">
      <w:pPr>
        <w:spacing w:line="360" w:lineRule="auto"/>
        <w:rPr>
          <w:rFonts w:ascii="Calibri" w:hAnsi="Calibri" w:cs="Calibri"/>
          <w:color w:val="000000"/>
        </w:rPr>
      </w:pPr>
    </w:p>
    <w:p w14:paraId="06A2CBE0" w14:textId="77777777" w:rsidR="00A04CF2" w:rsidRDefault="0099128D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 w:rsidRPr="0099128D">
        <w:rPr>
          <w:rFonts w:ascii="Calibri" w:hAnsi="Calibri" w:cs="Calibri"/>
          <w:b/>
          <w:bCs/>
          <w:color w:val="000000"/>
        </w:rPr>
        <w:t>Testimonial injustice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Pr="0099128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relating to our ability to tell other people, to share information</w:t>
      </w:r>
      <w:r w:rsidR="00A04CF2">
        <w:rPr>
          <w:rFonts w:ascii="Calibri" w:hAnsi="Calibri" w:cs="Calibri"/>
          <w:color w:val="000000"/>
        </w:rPr>
        <w:t xml:space="preserve">. </w:t>
      </w:r>
    </w:p>
    <w:p w14:paraId="4259DA69" w14:textId="7AC68510" w:rsidR="00A04CF2" w:rsidRDefault="00A04CF2" w:rsidP="00A04CF2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Some kinds of testifying include </w:t>
      </w:r>
      <w:r w:rsidRPr="00A04CF2">
        <w:rPr>
          <w:rFonts w:ascii="Calibri" w:hAnsi="Calibri" w:cs="Calibri"/>
          <w:i/>
          <w:iCs/>
          <w:color w:val="000000"/>
        </w:rPr>
        <w:t>describing</w:t>
      </w:r>
      <w:r>
        <w:rPr>
          <w:rFonts w:ascii="Calibri" w:hAnsi="Calibri" w:cs="Calibri"/>
          <w:color w:val="000000"/>
        </w:rPr>
        <w:t xml:space="preserve">, </w:t>
      </w:r>
      <w:r w:rsidRPr="00A04CF2">
        <w:rPr>
          <w:rFonts w:ascii="Calibri" w:hAnsi="Calibri" w:cs="Calibri"/>
          <w:i/>
          <w:iCs/>
          <w:color w:val="000000"/>
        </w:rPr>
        <w:t>explaining</w:t>
      </w:r>
      <w:r>
        <w:rPr>
          <w:rFonts w:ascii="Calibri" w:hAnsi="Calibri" w:cs="Calibri"/>
          <w:color w:val="000000"/>
        </w:rPr>
        <w:t xml:space="preserve">, </w:t>
      </w:r>
      <w:r w:rsidRPr="00A04CF2">
        <w:rPr>
          <w:rFonts w:ascii="Calibri" w:hAnsi="Calibri" w:cs="Calibri"/>
          <w:i/>
          <w:iCs/>
          <w:color w:val="000000"/>
        </w:rPr>
        <w:t>reporting</w:t>
      </w:r>
      <w:r>
        <w:rPr>
          <w:rFonts w:ascii="Calibri" w:hAnsi="Calibri" w:cs="Calibri"/>
          <w:color w:val="000000"/>
        </w:rPr>
        <w:t xml:space="preserve"> – in everyday and formal contexts.</w:t>
      </w:r>
    </w:p>
    <w:p w14:paraId="453F9698" w14:textId="34502ED4" w:rsidR="00A04CF2" w:rsidRDefault="00A04CF2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Key ideas:</w:t>
      </w:r>
    </w:p>
    <w:p w14:paraId="15642D0A" w14:textId="47A7154C" w:rsidR="00A04CF2" w:rsidRPr="00A04CF2" w:rsidRDefault="00A04CF2" w:rsidP="00A04C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04CF2">
        <w:rPr>
          <w:rFonts w:ascii="Calibri" w:hAnsi="Calibri" w:cs="Calibri"/>
          <w:b/>
          <w:bCs/>
          <w:color w:val="000000"/>
        </w:rPr>
        <w:t>Credibility</w:t>
      </w:r>
    </w:p>
    <w:p w14:paraId="30008FE6" w14:textId="558B552C" w:rsidR="00A04CF2" w:rsidRPr="00A04CF2" w:rsidRDefault="00A04CF2" w:rsidP="00A04C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Negative prejudice / stereotype </w:t>
      </w:r>
    </w:p>
    <w:p w14:paraId="1ABAF499" w14:textId="77777777" w:rsidR="00A04CF2" w:rsidRDefault="00A04CF2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</w:p>
    <w:p w14:paraId="678E8095" w14:textId="19DFF486" w:rsidR="00A04CF2" w:rsidRDefault="00A04CF2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In testimonial injustice, your credibility is deflated or denied due to the influence of a negative prejudice or stereotype against the kind of person you </w:t>
      </w:r>
      <w:proofErr w:type="gramStart"/>
      <w:r>
        <w:rPr>
          <w:rFonts w:ascii="Calibri" w:hAnsi="Calibri" w:cs="Calibri"/>
          <w:color w:val="000000"/>
        </w:rPr>
        <w:t>are, or</w:t>
      </w:r>
      <w:proofErr w:type="gramEnd"/>
      <w:r>
        <w:rPr>
          <w:rFonts w:ascii="Calibri" w:hAnsi="Calibri" w:cs="Calibri"/>
          <w:color w:val="000000"/>
        </w:rPr>
        <w:t xml:space="preserve"> are seen to be.</w:t>
      </w:r>
    </w:p>
    <w:p w14:paraId="41BFC156" w14:textId="77777777" w:rsidR="0099128D" w:rsidRDefault="0099128D" w:rsidP="0099128D">
      <w:pPr>
        <w:spacing w:line="360" w:lineRule="auto"/>
        <w:ind w:left="720"/>
        <w:rPr>
          <w:rFonts w:ascii="Calibri" w:hAnsi="Calibri" w:cs="Calibri"/>
          <w:color w:val="000000"/>
        </w:rPr>
      </w:pPr>
    </w:p>
    <w:p w14:paraId="08D3DEA1" w14:textId="77777777" w:rsidR="00A04CF2" w:rsidRDefault="00A04CF2" w:rsidP="0099128D">
      <w:pPr>
        <w:spacing w:line="360" w:lineRule="auto"/>
        <w:ind w:left="720"/>
        <w:rPr>
          <w:rFonts w:ascii="Calibri" w:hAnsi="Calibri" w:cs="Calibri"/>
          <w:color w:val="000000"/>
        </w:rPr>
      </w:pPr>
    </w:p>
    <w:p w14:paraId="583310CD" w14:textId="7AC7A29B" w:rsidR="0099128D" w:rsidRDefault="0099128D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 w:rsidRPr="0099128D">
        <w:rPr>
          <w:rFonts w:ascii="Calibri" w:hAnsi="Calibri" w:cs="Calibri"/>
          <w:b/>
          <w:bCs/>
          <w:color w:val="000000"/>
        </w:rPr>
        <w:t>Hermeneutical injustice</w:t>
      </w:r>
      <w:r>
        <w:rPr>
          <w:rFonts w:ascii="Calibri" w:hAnsi="Calibri" w:cs="Calibri"/>
          <w:b/>
          <w:bCs/>
          <w:color w:val="000000"/>
        </w:rPr>
        <w:t xml:space="preserve"> – </w:t>
      </w:r>
      <w:r w:rsidRPr="0099128D">
        <w:rPr>
          <w:rFonts w:ascii="Calibri" w:hAnsi="Calibri" w:cs="Calibri"/>
          <w:color w:val="000000"/>
        </w:rPr>
        <w:t>relating</w:t>
      </w:r>
      <w:r>
        <w:rPr>
          <w:rFonts w:ascii="Calibri" w:hAnsi="Calibri" w:cs="Calibri"/>
          <w:color w:val="000000"/>
        </w:rPr>
        <w:t xml:space="preserve"> to our ability to understand our own experiences, or the experiences of others, and to communicate this understanding to other people. </w:t>
      </w:r>
    </w:p>
    <w:p w14:paraId="6EE57B30" w14:textId="1EA8F89A" w:rsidR="00A04CF2" w:rsidRDefault="00A04CF2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Key ideas:</w:t>
      </w:r>
    </w:p>
    <w:p w14:paraId="6CE98728" w14:textId="49C03CB3" w:rsidR="00A04CF2" w:rsidRPr="00A04CF2" w:rsidRDefault="00A04CF2" w:rsidP="00A04CF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04CF2">
        <w:rPr>
          <w:rFonts w:ascii="Calibri" w:hAnsi="Calibri" w:cs="Calibri"/>
          <w:b/>
          <w:bCs/>
          <w:color w:val="000000"/>
        </w:rPr>
        <w:t>Hermeneutical resources</w:t>
      </w:r>
      <w:r w:rsidRPr="00A04CF2">
        <w:rPr>
          <w:rFonts w:ascii="Calibri" w:hAnsi="Calibri" w:cs="Calibri"/>
          <w:color w:val="000000"/>
        </w:rPr>
        <w:t>.</w:t>
      </w:r>
    </w:p>
    <w:p w14:paraId="0A02CFD8" w14:textId="488C7B4C" w:rsidR="00A04CF2" w:rsidRDefault="00A04CF2" w:rsidP="00A04CF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04CF2">
        <w:rPr>
          <w:rFonts w:ascii="Calibri" w:hAnsi="Calibri" w:cs="Calibri"/>
          <w:b/>
          <w:bCs/>
          <w:color w:val="000000"/>
        </w:rPr>
        <w:t>Hermeneutical marginalisation</w:t>
      </w:r>
      <w:r>
        <w:rPr>
          <w:rFonts w:ascii="Calibri" w:hAnsi="Calibri" w:cs="Calibri"/>
          <w:color w:val="000000"/>
        </w:rPr>
        <w:t xml:space="preserve"> (Mason)</w:t>
      </w:r>
      <w:r w:rsidR="00B2229E">
        <w:rPr>
          <w:rFonts w:ascii="Calibri" w:hAnsi="Calibri" w:cs="Calibri"/>
          <w:color w:val="000000"/>
        </w:rPr>
        <w:t>.</w:t>
      </w:r>
    </w:p>
    <w:p w14:paraId="0C706A1C" w14:textId="77777777" w:rsidR="00A04CF2" w:rsidRPr="00A04CF2" w:rsidRDefault="00A04CF2" w:rsidP="00A04CF2">
      <w:pPr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4FE683DE" w14:textId="2E7E0CDA" w:rsidR="00A04CF2" w:rsidRPr="00A04CF2" w:rsidRDefault="00A04CF2" w:rsidP="00A04CF2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Models of hermeneutical injustice:</w:t>
      </w:r>
    </w:p>
    <w:p w14:paraId="3B91052E" w14:textId="61402A36" w:rsidR="0099128D" w:rsidRPr="0099128D" w:rsidRDefault="0099128D" w:rsidP="0099128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color w:val="000000"/>
        </w:rPr>
      </w:pPr>
      <w:r w:rsidRPr="0099128D">
        <w:rPr>
          <w:rFonts w:ascii="Calibri" w:hAnsi="Calibri" w:cs="Calibri"/>
          <w:b/>
          <w:bCs/>
          <w:color w:val="000000"/>
        </w:rPr>
        <w:t>absence accounts</w:t>
      </w:r>
      <w:r w:rsidR="00A04CF2">
        <w:rPr>
          <w:rFonts w:ascii="Calibri" w:hAnsi="Calibri" w:cs="Calibri"/>
          <w:b/>
          <w:bCs/>
          <w:color w:val="000000"/>
        </w:rPr>
        <w:tab/>
      </w:r>
      <w:r w:rsidR="0026528C">
        <w:rPr>
          <w:rFonts w:ascii="Calibri" w:hAnsi="Calibri" w:cs="Calibri"/>
          <w:color w:val="000000"/>
        </w:rPr>
        <w:t>absence of good hermeneutic resources</w:t>
      </w:r>
      <w:r w:rsidR="000B3D6E">
        <w:rPr>
          <w:rFonts w:ascii="Calibri" w:hAnsi="Calibri" w:cs="Calibri"/>
          <w:color w:val="000000"/>
        </w:rPr>
        <w:t xml:space="preserve"> </w:t>
      </w:r>
      <w:r w:rsidR="000B3D6E">
        <w:rPr>
          <w:rFonts w:ascii="Calibri" w:hAnsi="Calibri" w:cs="Calibri"/>
          <w:color w:val="000000"/>
        </w:rPr>
        <w:t>(Fricker)</w:t>
      </w:r>
    </w:p>
    <w:p w14:paraId="75256CC1" w14:textId="75A037B9" w:rsidR="0099128D" w:rsidRPr="0099128D" w:rsidRDefault="0099128D" w:rsidP="0099128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color w:val="000000"/>
        </w:rPr>
      </w:pPr>
      <w:r w:rsidRPr="0099128D">
        <w:rPr>
          <w:rFonts w:ascii="Calibri" w:hAnsi="Calibri" w:cs="Calibri"/>
          <w:b/>
          <w:bCs/>
          <w:color w:val="000000"/>
        </w:rPr>
        <w:t>presence account</w:t>
      </w:r>
      <w:r w:rsidR="00A04CF2">
        <w:rPr>
          <w:rFonts w:ascii="Calibri" w:hAnsi="Calibri" w:cs="Calibri"/>
          <w:b/>
          <w:bCs/>
          <w:color w:val="000000"/>
        </w:rPr>
        <w:tab/>
      </w:r>
      <w:r w:rsidR="0026528C">
        <w:rPr>
          <w:rFonts w:ascii="Calibri" w:hAnsi="Calibri" w:cs="Calibri"/>
          <w:color w:val="000000"/>
        </w:rPr>
        <w:t>presence of bad hermeneutic resources</w:t>
      </w:r>
      <w:r w:rsidR="000B3D6E">
        <w:rPr>
          <w:rFonts w:ascii="Calibri" w:hAnsi="Calibri" w:cs="Calibri"/>
          <w:color w:val="000000"/>
        </w:rPr>
        <w:t xml:space="preserve"> </w:t>
      </w:r>
      <w:r w:rsidR="000B3D6E" w:rsidRPr="0099128D">
        <w:rPr>
          <w:rFonts w:ascii="Calibri" w:hAnsi="Calibri" w:cs="Calibri"/>
          <w:color w:val="000000"/>
        </w:rPr>
        <w:t>(Falbo)</w:t>
      </w:r>
      <w:r w:rsidR="000B3D6E">
        <w:rPr>
          <w:rFonts w:ascii="Calibri" w:hAnsi="Calibri" w:cs="Calibri"/>
          <w:color w:val="000000"/>
        </w:rPr>
        <w:tab/>
      </w:r>
    </w:p>
    <w:p w14:paraId="4C2E7D62" w14:textId="77777777" w:rsidR="00F4708B" w:rsidRDefault="00F4708B" w:rsidP="00F4708B">
      <w:pPr>
        <w:spacing w:line="360" w:lineRule="auto"/>
        <w:rPr>
          <w:rFonts w:ascii="Calibri" w:hAnsi="Calibri" w:cs="Calibri"/>
          <w:color w:val="000000"/>
        </w:rPr>
      </w:pPr>
    </w:p>
    <w:p w14:paraId="3650BC67" w14:textId="63657E9C" w:rsidR="0099128D" w:rsidRDefault="00F4708B" w:rsidP="009912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04CF2">
        <w:rPr>
          <w:rFonts w:ascii="Calibri" w:hAnsi="Calibri" w:cs="Calibri"/>
          <w:b/>
          <w:bCs/>
          <w:color w:val="000000"/>
          <w:u w:val="single"/>
        </w:rPr>
        <w:t>The complexity of epistemic injustice</w:t>
      </w:r>
      <w:r w:rsidRPr="00F4708B">
        <w:rPr>
          <w:rFonts w:ascii="Calibri" w:hAnsi="Calibri" w:cs="Calibri"/>
          <w:color w:val="000000"/>
        </w:rPr>
        <w:t>.</w:t>
      </w:r>
    </w:p>
    <w:p w14:paraId="57E2767A" w14:textId="77777777" w:rsidR="0099128D" w:rsidRPr="0099128D" w:rsidRDefault="0099128D" w:rsidP="0099128D">
      <w:pPr>
        <w:pStyle w:val="ListParagraph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61F80CFD" w14:textId="17CE080E" w:rsidR="00F4708B" w:rsidRDefault="00F4708B" w:rsidP="0099128D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Whenever a concept ‘goes viral’, there are risks</w:t>
      </w:r>
      <w:r w:rsidR="00240E02">
        <w:rPr>
          <w:rFonts w:ascii="Calibri" w:hAnsi="Calibri" w:cs="Calibri"/>
          <w:color w:val="000000"/>
        </w:rPr>
        <w:t xml:space="preserve"> </w:t>
      </w:r>
      <w:proofErr w:type="gramStart"/>
      <w:r w:rsidR="00240E02">
        <w:rPr>
          <w:rFonts w:ascii="Calibri" w:hAnsi="Calibri" w:cs="Calibri"/>
          <w:color w:val="000000"/>
        </w:rPr>
        <w:t>to recognise</w:t>
      </w:r>
      <w:proofErr w:type="gramEnd"/>
      <w:r w:rsidR="00240E02">
        <w:rPr>
          <w:rFonts w:ascii="Calibri" w:hAnsi="Calibri" w:cs="Calibri"/>
          <w:color w:val="000000"/>
        </w:rPr>
        <w:t xml:space="preserve"> and avoid:</w:t>
      </w:r>
    </w:p>
    <w:p w14:paraId="06971583" w14:textId="77777777" w:rsidR="00F4708B" w:rsidRPr="0099128D" w:rsidRDefault="00F4708B" w:rsidP="0099128D">
      <w:pPr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23138C25" w14:textId="69C90926" w:rsidR="00F4708B" w:rsidRDefault="00F4708B" w:rsidP="00991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tendency to </w:t>
      </w:r>
      <w:r w:rsidRPr="00240E02">
        <w:rPr>
          <w:rFonts w:ascii="Calibri" w:hAnsi="Calibri" w:cs="Calibri"/>
          <w:color w:val="000000"/>
        </w:rPr>
        <w:t>overextend</w:t>
      </w:r>
      <w:r>
        <w:rPr>
          <w:rFonts w:ascii="Calibri" w:hAnsi="Calibri" w:cs="Calibri"/>
          <w:color w:val="000000"/>
        </w:rPr>
        <w:t xml:space="preserve"> the concept of an epistemic injustice</w:t>
      </w:r>
      <w:r w:rsidR="00B64F69">
        <w:rPr>
          <w:rFonts w:ascii="Calibri" w:hAnsi="Calibri" w:cs="Calibri"/>
          <w:color w:val="000000"/>
        </w:rPr>
        <w:t xml:space="preserve">, </w:t>
      </w:r>
      <w:r w:rsidR="004E2BD6">
        <w:rPr>
          <w:rFonts w:ascii="Calibri" w:hAnsi="Calibri" w:cs="Calibri"/>
          <w:color w:val="000000"/>
        </w:rPr>
        <w:t>applying it to cases where nothing epistemically unjust is happening.</w:t>
      </w:r>
      <w:r w:rsidR="00B64F69">
        <w:rPr>
          <w:rFonts w:ascii="Calibri" w:hAnsi="Calibri" w:cs="Calibri"/>
          <w:color w:val="000000"/>
        </w:rPr>
        <w:t xml:space="preserve"> </w:t>
      </w:r>
    </w:p>
    <w:p w14:paraId="29580064" w14:textId="77777777" w:rsidR="0099128D" w:rsidRPr="0099128D" w:rsidRDefault="0099128D" w:rsidP="0099128D">
      <w:pPr>
        <w:pStyle w:val="ListParagraph"/>
        <w:spacing w:line="360" w:lineRule="auto"/>
        <w:ind w:left="108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04AE761F" w14:textId="1A7A6165" w:rsidR="00F4708B" w:rsidRDefault="00F4708B" w:rsidP="00991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tendency to use simplistic</w:t>
      </w:r>
      <w:r w:rsidR="0099128D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distorted accounts of the nature, causes, harms, and wrongs of epistemic injustices.</w:t>
      </w:r>
    </w:p>
    <w:p w14:paraId="53B78C19" w14:textId="77777777" w:rsidR="0099128D" w:rsidRPr="0099128D" w:rsidRDefault="0099128D" w:rsidP="0099128D">
      <w:pPr>
        <w:pStyle w:val="ListParagraph"/>
        <w:spacing w:line="360" w:lineRule="auto"/>
        <w:ind w:left="1080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6BF51FAB" w14:textId="652C9205" w:rsidR="00F4708B" w:rsidRDefault="00F4708B" w:rsidP="00991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tendency to default to the original 2007 </w:t>
      </w:r>
      <w:proofErr w:type="spellStart"/>
      <w:r>
        <w:rPr>
          <w:rFonts w:ascii="Calibri" w:hAnsi="Calibri" w:cs="Calibri"/>
          <w:color w:val="000000"/>
        </w:rPr>
        <w:t>Frickerian</w:t>
      </w:r>
      <w:proofErr w:type="spellEnd"/>
      <w:r>
        <w:rPr>
          <w:rFonts w:ascii="Calibri" w:hAnsi="Calibri" w:cs="Calibri"/>
          <w:color w:val="000000"/>
        </w:rPr>
        <w:t xml:space="preserve"> account without considering her later amendments or alternative kinds of epistemic injustice.</w:t>
      </w:r>
      <w:r w:rsidR="00240E02">
        <w:rPr>
          <w:rFonts w:ascii="Calibri" w:hAnsi="Calibri" w:cs="Calibri"/>
          <w:color w:val="000000"/>
        </w:rPr>
        <w:t xml:space="preserve"> There are lots of other kinds of epistemic injustice, and different ways to think about testimonial or hermeneutical injustice.</w:t>
      </w:r>
    </w:p>
    <w:p w14:paraId="05F6DD6F" w14:textId="77777777" w:rsidR="0099128D" w:rsidRDefault="0099128D" w:rsidP="0099128D">
      <w:pPr>
        <w:pStyle w:val="ListParagraph"/>
        <w:jc w:val="both"/>
        <w:rPr>
          <w:rFonts w:ascii="Calibri" w:hAnsi="Calibri" w:cs="Calibri"/>
          <w:color w:val="000000"/>
        </w:rPr>
      </w:pPr>
    </w:p>
    <w:p w14:paraId="0C33717D" w14:textId="77777777" w:rsidR="00A04CF2" w:rsidRDefault="00A04CF2" w:rsidP="007571B2">
      <w:pPr>
        <w:pStyle w:val="ListParagraph"/>
        <w:spacing w:line="360" w:lineRule="auto"/>
        <w:jc w:val="both"/>
        <w:rPr>
          <w:rFonts w:ascii="Calibri" w:hAnsi="Calibri" w:cs="Calibri"/>
          <w:color w:val="000000"/>
        </w:rPr>
      </w:pPr>
    </w:p>
    <w:p w14:paraId="372F49BD" w14:textId="508970FA" w:rsidR="00240E02" w:rsidRDefault="007571B2" w:rsidP="007571B2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should also understand that epistemic injustice takes different forms in different contexts:</w:t>
      </w:r>
    </w:p>
    <w:p w14:paraId="3B5E5D1B" w14:textId="77777777" w:rsidR="007571B2" w:rsidRDefault="007571B2" w:rsidP="007571B2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D8AB78A" w14:textId="7659A8E4" w:rsidR="007571B2" w:rsidRDefault="007571B2" w:rsidP="007571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Illness </w:t>
      </w:r>
      <w:r>
        <w:rPr>
          <w:rFonts w:ascii="Calibri" w:hAnsi="Calibri" w:cs="Calibri"/>
          <w:color w:val="000000"/>
        </w:rPr>
        <w:t>– people with somatic (bodily) and psychiatric illnesses often report things that sound like epistemic injustices.</w:t>
      </w:r>
    </w:p>
    <w:p w14:paraId="1BD9158F" w14:textId="70B47F1E" w:rsidR="007571B2" w:rsidRDefault="007571B2" w:rsidP="007571B2">
      <w:pPr>
        <w:pStyle w:val="ListParagraph"/>
        <w:spacing w:line="360" w:lineRule="auto"/>
        <w:ind w:left="1080"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Carel and Kidd call these </w:t>
      </w:r>
      <w:r>
        <w:rPr>
          <w:rFonts w:ascii="Calibri" w:hAnsi="Calibri" w:cs="Calibri"/>
          <w:b/>
          <w:bCs/>
          <w:color w:val="000000"/>
        </w:rPr>
        <w:t>pathocentric epistemic injustices</w:t>
      </w:r>
      <w:r>
        <w:rPr>
          <w:rFonts w:ascii="Calibri" w:hAnsi="Calibri" w:cs="Calibri"/>
          <w:color w:val="000000"/>
        </w:rPr>
        <w:t xml:space="preserve"> (‘illness-centric’).</w:t>
      </w:r>
    </w:p>
    <w:p w14:paraId="6E6098B3" w14:textId="706AD442" w:rsidR="00323206" w:rsidRPr="00323206" w:rsidRDefault="00323206" w:rsidP="00323206">
      <w:pPr>
        <w:pStyle w:val="ListParagraph"/>
        <w:spacing w:line="360" w:lineRule="auto"/>
        <w:ind w:left="1080"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Project EPIC at Bristol, Birmingham, and Nottingham is a study of pathocentric </w:t>
      </w:r>
      <w:r w:rsidRPr="00323206">
        <w:rPr>
          <w:rFonts w:ascii="Calibri" w:hAnsi="Calibri" w:cs="Calibri"/>
          <w:color w:val="000000"/>
        </w:rPr>
        <w:t>epistemic injustices</w:t>
      </w:r>
      <w:r>
        <w:rPr>
          <w:rFonts w:ascii="Calibri" w:hAnsi="Calibri" w:cs="Calibri"/>
          <w:color w:val="000000"/>
        </w:rPr>
        <w:t>.</w:t>
      </w:r>
    </w:p>
    <w:p w14:paraId="08F47A4E" w14:textId="77777777" w:rsidR="007571B2" w:rsidRDefault="007571B2" w:rsidP="007571B2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31BB9833" w14:textId="4B055446" w:rsidR="007571B2" w:rsidRPr="007571B2" w:rsidRDefault="007571B2" w:rsidP="007571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Neurodiversity</w:t>
      </w:r>
      <w:r>
        <w:rPr>
          <w:rFonts w:ascii="Calibri" w:hAnsi="Calibri" w:cs="Calibri"/>
          <w:color w:val="000000"/>
        </w:rPr>
        <w:t xml:space="preserve"> – negative stereotyping, bad theoretical models of neurodiversity, and other factors can cause </w:t>
      </w:r>
      <w:r w:rsidRPr="007571B2">
        <w:rPr>
          <w:rFonts w:ascii="Calibri" w:hAnsi="Calibri" w:cs="Calibri"/>
          <w:color w:val="000000"/>
        </w:rPr>
        <w:t>credibility-deflations</w:t>
      </w:r>
      <w:r>
        <w:rPr>
          <w:rFonts w:ascii="Calibri" w:hAnsi="Calibri" w:cs="Calibri"/>
          <w:color w:val="000000"/>
        </w:rPr>
        <w:t xml:space="preserve"> (= testimonial injustice) and block our ability and willingness to understand the experiences of neurodiverse persons (= hermeneutical injustice)</w:t>
      </w:r>
      <w:r w:rsidR="00323206">
        <w:rPr>
          <w:rFonts w:ascii="Calibri" w:hAnsi="Calibri" w:cs="Calibri"/>
          <w:color w:val="000000"/>
        </w:rPr>
        <w:t xml:space="preserve"> – see Chapman and Carel.</w:t>
      </w:r>
    </w:p>
    <w:p w14:paraId="2C6C2465" w14:textId="77777777" w:rsidR="00240E02" w:rsidRDefault="00240E02" w:rsidP="00240E02">
      <w:pPr>
        <w:jc w:val="both"/>
        <w:rPr>
          <w:rFonts w:ascii="Calibri" w:hAnsi="Calibri" w:cs="Calibri"/>
          <w:color w:val="000000"/>
        </w:rPr>
      </w:pPr>
    </w:p>
    <w:p w14:paraId="2C92A8BA" w14:textId="4C867830" w:rsidR="0064141F" w:rsidRDefault="007571B2" w:rsidP="00E7044C">
      <w:pPr>
        <w:spacing w:line="360" w:lineRule="auto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 lots of other context-specific kinds of epistemic injustice, too (see the essays in Part 5 of Kidd, Medina, and Pohlhaus).</w:t>
      </w:r>
      <w:r w:rsidR="00A569E9">
        <w:rPr>
          <w:rFonts w:ascii="Calibri" w:hAnsi="Calibri" w:cs="Calibri"/>
          <w:color w:val="000000"/>
        </w:rPr>
        <w:t xml:space="preserve"> </w:t>
      </w:r>
    </w:p>
    <w:p w14:paraId="513EAEF9" w14:textId="77777777" w:rsidR="000941AF" w:rsidRDefault="000941AF" w:rsidP="00F4708B">
      <w:pPr>
        <w:spacing w:line="360" w:lineRule="auto"/>
        <w:jc w:val="right"/>
        <w:rPr>
          <w:rFonts w:ascii="Calibri" w:hAnsi="Calibri" w:cs="Calibri"/>
          <w:color w:val="000000"/>
        </w:rPr>
      </w:pPr>
    </w:p>
    <w:p w14:paraId="04BF68BF" w14:textId="294EDB45" w:rsidR="00F4708B" w:rsidRPr="000941AF" w:rsidRDefault="000941AF" w:rsidP="00F4708B">
      <w:pPr>
        <w:spacing w:line="360" w:lineRule="auto"/>
        <w:jc w:val="right"/>
        <w:rPr>
          <w:rFonts w:ascii="Calibri" w:hAnsi="Calibri" w:cs="Calibri"/>
          <w:color w:val="000000"/>
        </w:rPr>
      </w:pPr>
      <w:r w:rsidRPr="000941AF">
        <w:rPr>
          <w:rFonts w:ascii="Calibri" w:hAnsi="Calibri" w:cs="Calibri"/>
          <w:color w:val="000000"/>
        </w:rPr>
        <w:t>IJK</w:t>
      </w:r>
    </w:p>
    <w:p w14:paraId="031CC7D0" w14:textId="77777777" w:rsidR="00F4708B" w:rsidRDefault="00F4708B" w:rsidP="00F4708B">
      <w:pPr>
        <w:spacing w:line="360" w:lineRule="auto"/>
        <w:rPr>
          <w:rFonts w:ascii="Calibri" w:hAnsi="Calibri" w:cs="Calibri"/>
        </w:rPr>
      </w:pPr>
    </w:p>
    <w:p w14:paraId="270E8E23" w14:textId="0331F9F7" w:rsidR="00F4708B" w:rsidRDefault="00F4708B" w:rsidP="00F4708B">
      <w:pPr>
        <w:spacing w:line="360" w:lineRule="auto"/>
        <w:rPr>
          <w:rFonts w:ascii="Calibri" w:hAnsi="Calibri" w:cs="Calibri"/>
          <w:b/>
          <w:bCs/>
        </w:rPr>
      </w:pPr>
      <w:r w:rsidRPr="00F4708B">
        <w:rPr>
          <w:rFonts w:ascii="Calibri" w:hAnsi="Calibri" w:cs="Calibri"/>
          <w:b/>
          <w:bCs/>
        </w:rPr>
        <w:lastRenderedPageBreak/>
        <w:t>REFERENCES</w:t>
      </w:r>
    </w:p>
    <w:p w14:paraId="0C772F80" w14:textId="03FD57BC" w:rsidR="009F24CF" w:rsidRDefault="009F24CF" w:rsidP="009F24C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 w:rsidRPr="009F24CF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best place to start reading about epistemic injustice is the introduction to Kidd, Medina, and </w:t>
      </w:r>
      <w:proofErr w:type="spellStart"/>
      <w:r>
        <w:rPr>
          <w:rFonts w:ascii="Calibri" w:hAnsi="Calibri" w:cs="Calibri"/>
        </w:rPr>
        <w:t>Polhlhaus</w:t>
      </w:r>
      <w:proofErr w:type="spellEnd"/>
      <w:r>
        <w:rPr>
          <w:rFonts w:ascii="Calibri" w:hAnsi="Calibri" w:cs="Calibri"/>
        </w:rPr>
        <w:t>.</w:t>
      </w:r>
    </w:p>
    <w:p w14:paraId="2F97A18F" w14:textId="77777777" w:rsidR="009F24CF" w:rsidRDefault="009F24CF" w:rsidP="00F4708B">
      <w:pPr>
        <w:spacing w:line="360" w:lineRule="auto"/>
        <w:rPr>
          <w:rFonts w:ascii="Calibri" w:hAnsi="Calibri" w:cs="Calibri"/>
          <w:b/>
          <w:bCs/>
        </w:rPr>
      </w:pPr>
    </w:p>
    <w:p w14:paraId="243AB06C" w14:textId="77777777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color w:val="3F3F3F"/>
          <w:spacing w:val="5"/>
          <w:sz w:val="22"/>
          <w:szCs w:val="22"/>
        </w:rPr>
      </w:pP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Chapman, </w:t>
      </w:r>
      <w:proofErr w:type="gramStart"/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Robert</w:t>
      </w:r>
      <w:proofErr w:type="gramEnd"/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 and </w:t>
      </w:r>
      <w:proofErr w:type="spellStart"/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Havi</w:t>
      </w:r>
      <w:proofErr w:type="spellEnd"/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 Carel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 (2022)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 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‘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Neurodiversity, Epistemic Injustice, and the Good Human Life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’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, </w:t>
      </w:r>
      <w:r w:rsidRPr="009F24CF">
        <w:rPr>
          <w:rStyle w:val="Emphasis"/>
          <w:rFonts w:ascii="Calibri" w:hAnsi="Calibri" w:cs="Calibri"/>
          <w:color w:val="3F3F3F"/>
          <w:spacing w:val="5"/>
          <w:sz w:val="22"/>
          <w:szCs w:val="22"/>
        </w:rPr>
        <w:t>Journal of Social Philosophy 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53.3: 614-631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>.</w:t>
      </w:r>
      <w:bookmarkStart w:id="0" w:name="_Hlk121220172"/>
    </w:p>
    <w:p w14:paraId="388E8985" w14:textId="77777777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sz w:val="22"/>
          <w:szCs w:val="22"/>
        </w:rPr>
      </w:pPr>
      <w:r w:rsidRPr="009F24CF">
        <w:rPr>
          <w:rFonts w:ascii="Calibri" w:hAnsi="Calibri" w:cs="Calibri"/>
          <w:sz w:val="22"/>
          <w:szCs w:val="22"/>
        </w:rPr>
        <w:t xml:space="preserve">Crichton, Paul, </w:t>
      </w:r>
      <w:proofErr w:type="spellStart"/>
      <w:r w:rsidRPr="009F24CF">
        <w:rPr>
          <w:rFonts w:ascii="Calibri" w:hAnsi="Calibri" w:cs="Calibri"/>
          <w:sz w:val="22"/>
          <w:szCs w:val="22"/>
        </w:rPr>
        <w:t>Havi</w:t>
      </w:r>
      <w:proofErr w:type="spellEnd"/>
      <w:r w:rsidRPr="009F24C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F24CF">
        <w:rPr>
          <w:rFonts w:ascii="Calibri" w:hAnsi="Calibri" w:cs="Calibri"/>
          <w:sz w:val="22"/>
          <w:szCs w:val="22"/>
        </w:rPr>
        <w:t>Carel</w:t>
      </w:r>
      <w:proofErr w:type="gramEnd"/>
      <w:r w:rsidRPr="009F24CF">
        <w:rPr>
          <w:rFonts w:ascii="Calibri" w:hAnsi="Calibri" w:cs="Calibri"/>
          <w:sz w:val="22"/>
          <w:szCs w:val="22"/>
        </w:rPr>
        <w:t xml:space="preserve"> and Ian James Kidd. 2016. Epistemic Injustice in Psychiatry. </w:t>
      </w:r>
      <w:proofErr w:type="spellStart"/>
      <w:r w:rsidRPr="009F24CF">
        <w:rPr>
          <w:rFonts w:ascii="Calibri" w:hAnsi="Calibri" w:cs="Calibri"/>
          <w:i/>
          <w:iCs/>
          <w:sz w:val="22"/>
          <w:szCs w:val="22"/>
        </w:rPr>
        <w:t>BJPsych</w:t>
      </w:r>
      <w:proofErr w:type="spellEnd"/>
      <w:r w:rsidRPr="009F24CF">
        <w:rPr>
          <w:rFonts w:ascii="Calibri" w:hAnsi="Calibri" w:cs="Calibri"/>
          <w:i/>
          <w:iCs/>
          <w:sz w:val="22"/>
          <w:szCs w:val="22"/>
        </w:rPr>
        <w:t xml:space="preserve"> Bulletin</w:t>
      </w:r>
      <w:r w:rsidRPr="009F24CF">
        <w:rPr>
          <w:rFonts w:ascii="Calibri" w:hAnsi="Calibri" w:cs="Calibri"/>
          <w:sz w:val="22"/>
          <w:szCs w:val="22"/>
        </w:rPr>
        <w:t xml:space="preserve"> 41(2): 65-70</w:t>
      </w:r>
      <w:bookmarkEnd w:id="0"/>
      <w:r w:rsidRPr="009F24CF">
        <w:rPr>
          <w:rFonts w:ascii="Calibri" w:hAnsi="Calibri" w:cs="Calibri"/>
          <w:sz w:val="22"/>
          <w:szCs w:val="22"/>
        </w:rPr>
        <w:t>.</w:t>
      </w:r>
    </w:p>
    <w:p w14:paraId="244D9347" w14:textId="77777777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color w:val="3F3F3F"/>
          <w:spacing w:val="5"/>
          <w:sz w:val="22"/>
          <w:szCs w:val="22"/>
          <w:shd w:val="clear" w:color="auto" w:fill="FFFFFF"/>
        </w:rPr>
      </w:pPr>
      <w:r w:rsidRPr="009F24CF">
        <w:rPr>
          <w:rFonts w:ascii="Calibri" w:hAnsi="Calibri" w:cs="Calibri"/>
          <w:spacing w:val="5"/>
          <w:sz w:val="22"/>
          <w:szCs w:val="22"/>
        </w:rPr>
        <w:t>Falbo, Arianna</w:t>
      </w:r>
      <w:r w:rsidRPr="009F24CF">
        <w:rPr>
          <w:rFonts w:ascii="Calibri" w:hAnsi="Calibri" w:cs="Calibri"/>
          <w:spacing w:val="5"/>
          <w:sz w:val="22"/>
          <w:szCs w:val="22"/>
        </w:rPr>
        <w:t xml:space="preserve"> (2022) ‘</w:t>
      </w:r>
      <w:r w:rsidRPr="009F24CF">
        <w:rPr>
          <w:rFonts w:ascii="Calibri" w:hAnsi="Calibri" w:cs="Calibri"/>
          <w:spacing w:val="5"/>
          <w:sz w:val="22"/>
          <w:szCs w:val="22"/>
        </w:rPr>
        <w:t>Hermeneutical Injustice: Distortion and Conceptual Aptness</w:t>
      </w:r>
      <w:r w:rsidRPr="009F24CF">
        <w:rPr>
          <w:rFonts w:ascii="Calibri" w:hAnsi="Calibri" w:cs="Calibri"/>
          <w:spacing w:val="5"/>
          <w:sz w:val="22"/>
          <w:szCs w:val="22"/>
        </w:rPr>
        <w:t xml:space="preserve">’, </w:t>
      </w:r>
      <w:r w:rsidRPr="009F24CF">
        <w:rPr>
          <w:rFonts w:ascii="Calibri" w:hAnsi="Calibri" w:cs="Calibri"/>
          <w:i/>
          <w:iCs/>
          <w:spacing w:val="5"/>
          <w:sz w:val="22"/>
          <w:szCs w:val="22"/>
        </w:rPr>
        <w:t>Hypatia</w:t>
      </w:r>
      <w:r w:rsidRPr="009F24CF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9F24CF">
        <w:rPr>
          <w:rFonts w:ascii="Calibri" w:hAnsi="Calibri" w:cs="Calibri"/>
          <w:color w:val="3F3F3F"/>
          <w:spacing w:val="5"/>
          <w:sz w:val="22"/>
          <w:szCs w:val="22"/>
          <w:shd w:val="clear" w:color="auto" w:fill="FFFFFF"/>
        </w:rPr>
        <w:t>37: 343-363.</w:t>
      </w:r>
    </w:p>
    <w:p w14:paraId="1F77403C" w14:textId="77777777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sz w:val="22"/>
          <w:szCs w:val="22"/>
        </w:rPr>
      </w:pPr>
      <w:r w:rsidRPr="009F24CF">
        <w:rPr>
          <w:rFonts w:ascii="Calibri" w:hAnsi="Calibri" w:cs="Calibri"/>
          <w:sz w:val="22"/>
          <w:szCs w:val="22"/>
        </w:rPr>
        <w:t>Fricker, M</w:t>
      </w:r>
      <w:r w:rsidRPr="009F24CF">
        <w:rPr>
          <w:rFonts w:ascii="Calibri" w:hAnsi="Calibri" w:cs="Calibri"/>
          <w:sz w:val="22"/>
          <w:szCs w:val="22"/>
        </w:rPr>
        <w:t>iranda</w:t>
      </w:r>
      <w:r w:rsidRPr="009F24CF">
        <w:rPr>
          <w:rFonts w:ascii="Calibri" w:hAnsi="Calibri" w:cs="Calibri"/>
          <w:sz w:val="22"/>
          <w:szCs w:val="22"/>
        </w:rPr>
        <w:t xml:space="preserve"> </w:t>
      </w:r>
      <w:r w:rsidRPr="009F24CF">
        <w:rPr>
          <w:rFonts w:ascii="Calibri" w:hAnsi="Calibri" w:cs="Calibri"/>
          <w:sz w:val="22"/>
          <w:szCs w:val="22"/>
        </w:rPr>
        <w:t>(</w:t>
      </w:r>
      <w:r w:rsidRPr="009F24CF">
        <w:rPr>
          <w:rFonts w:ascii="Calibri" w:hAnsi="Calibri" w:cs="Calibri"/>
          <w:sz w:val="22"/>
          <w:szCs w:val="22"/>
        </w:rPr>
        <w:t>2007</w:t>
      </w:r>
      <w:r w:rsidRPr="009F24CF">
        <w:rPr>
          <w:rFonts w:ascii="Calibri" w:hAnsi="Calibri" w:cs="Calibri"/>
          <w:sz w:val="22"/>
          <w:szCs w:val="22"/>
        </w:rPr>
        <w:t>)</w:t>
      </w:r>
      <w:r w:rsidRPr="009F24CF">
        <w:rPr>
          <w:rFonts w:ascii="Calibri" w:hAnsi="Calibri" w:cs="Calibri"/>
          <w:sz w:val="22"/>
          <w:szCs w:val="22"/>
        </w:rPr>
        <w:t xml:space="preserve"> </w:t>
      </w:r>
      <w:r w:rsidRPr="009F24CF">
        <w:rPr>
          <w:rFonts w:ascii="Calibri" w:hAnsi="Calibri" w:cs="Calibri"/>
          <w:i/>
          <w:iCs/>
          <w:sz w:val="22"/>
          <w:szCs w:val="22"/>
        </w:rPr>
        <w:t>Epistemic Injustice</w:t>
      </w:r>
      <w:r w:rsidRPr="009F24CF">
        <w:rPr>
          <w:rFonts w:ascii="Calibri" w:hAnsi="Calibri" w:cs="Calibri"/>
          <w:i/>
          <w:iCs/>
          <w:sz w:val="22"/>
          <w:szCs w:val="22"/>
        </w:rPr>
        <w:t>: Power and the Ethics of Knowing</w:t>
      </w:r>
      <w:r w:rsidRPr="009F24CF">
        <w:rPr>
          <w:rFonts w:ascii="Calibri" w:hAnsi="Calibri" w:cs="Calibri"/>
          <w:sz w:val="22"/>
          <w:szCs w:val="22"/>
        </w:rPr>
        <w:t xml:space="preserve"> (</w:t>
      </w:r>
      <w:r w:rsidRPr="009F24CF">
        <w:rPr>
          <w:rFonts w:ascii="Calibri" w:hAnsi="Calibri" w:cs="Calibri"/>
          <w:sz w:val="22"/>
          <w:szCs w:val="22"/>
        </w:rPr>
        <w:t>Oxford: Oxford University Press</w:t>
      </w:r>
      <w:r w:rsidRPr="009F24CF">
        <w:rPr>
          <w:rFonts w:ascii="Calibri" w:hAnsi="Calibri" w:cs="Calibri"/>
          <w:sz w:val="22"/>
          <w:szCs w:val="22"/>
        </w:rPr>
        <w:t>)</w:t>
      </w:r>
      <w:r w:rsidRPr="009F24CF">
        <w:rPr>
          <w:rFonts w:ascii="Calibri" w:hAnsi="Calibri" w:cs="Calibri"/>
          <w:sz w:val="22"/>
          <w:szCs w:val="22"/>
        </w:rPr>
        <w:t>.</w:t>
      </w:r>
    </w:p>
    <w:p w14:paraId="2DEA4F9C" w14:textId="77777777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sz w:val="22"/>
          <w:szCs w:val="22"/>
        </w:rPr>
      </w:pPr>
      <w:r w:rsidRPr="009F24CF">
        <w:rPr>
          <w:rFonts w:ascii="Calibri" w:hAnsi="Calibri" w:cs="Calibri"/>
          <w:sz w:val="22"/>
          <w:szCs w:val="22"/>
        </w:rPr>
        <w:t>Kidd, I</w:t>
      </w:r>
      <w:r w:rsidRPr="009F24CF">
        <w:rPr>
          <w:rFonts w:ascii="Calibri" w:hAnsi="Calibri" w:cs="Calibri"/>
          <w:sz w:val="22"/>
          <w:szCs w:val="22"/>
        </w:rPr>
        <w:t>an</w:t>
      </w:r>
      <w:r w:rsidRPr="009F24CF">
        <w:rPr>
          <w:rFonts w:ascii="Calibri" w:hAnsi="Calibri" w:cs="Calibri"/>
          <w:sz w:val="22"/>
          <w:szCs w:val="22"/>
        </w:rPr>
        <w:t xml:space="preserve"> J</w:t>
      </w:r>
      <w:r w:rsidRPr="009F24CF">
        <w:rPr>
          <w:rFonts w:ascii="Calibri" w:hAnsi="Calibri" w:cs="Calibri"/>
          <w:sz w:val="22"/>
          <w:szCs w:val="22"/>
        </w:rPr>
        <w:t>ames</w:t>
      </w:r>
      <w:r w:rsidRPr="009F24CF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9F24CF">
        <w:rPr>
          <w:rFonts w:ascii="Calibri" w:hAnsi="Calibri" w:cs="Calibri"/>
          <w:sz w:val="22"/>
          <w:szCs w:val="22"/>
        </w:rPr>
        <w:t>H</w:t>
      </w:r>
      <w:r w:rsidRPr="009F24CF">
        <w:rPr>
          <w:rFonts w:ascii="Calibri" w:hAnsi="Calibri" w:cs="Calibri"/>
          <w:sz w:val="22"/>
          <w:szCs w:val="22"/>
        </w:rPr>
        <w:t>avi</w:t>
      </w:r>
      <w:proofErr w:type="spellEnd"/>
      <w:r w:rsidRPr="009F24CF">
        <w:rPr>
          <w:rFonts w:ascii="Calibri" w:hAnsi="Calibri" w:cs="Calibri"/>
          <w:sz w:val="22"/>
          <w:szCs w:val="22"/>
        </w:rPr>
        <w:t xml:space="preserve"> Carel</w:t>
      </w:r>
      <w:r w:rsidRPr="009F24CF">
        <w:rPr>
          <w:rFonts w:ascii="Calibri" w:hAnsi="Calibri" w:cs="Calibri"/>
          <w:sz w:val="22"/>
          <w:szCs w:val="22"/>
        </w:rPr>
        <w:t xml:space="preserve"> (</w:t>
      </w:r>
      <w:r w:rsidRPr="009F24CF">
        <w:rPr>
          <w:rFonts w:ascii="Calibri" w:hAnsi="Calibri" w:cs="Calibri"/>
          <w:sz w:val="22"/>
          <w:szCs w:val="22"/>
        </w:rPr>
        <w:t>2016</w:t>
      </w:r>
      <w:r w:rsidRPr="009F24CF">
        <w:rPr>
          <w:rFonts w:ascii="Calibri" w:hAnsi="Calibri" w:cs="Calibri"/>
          <w:sz w:val="22"/>
          <w:szCs w:val="22"/>
        </w:rPr>
        <w:t>) ‘</w:t>
      </w:r>
      <w:r w:rsidRPr="009F24CF">
        <w:rPr>
          <w:rFonts w:ascii="Calibri" w:hAnsi="Calibri" w:cs="Calibri"/>
          <w:sz w:val="22"/>
          <w:szCs w:val="22"/>
        </w:rPr>
        <w:t>Epistemic Injustice and Illness</w:t>
      </w:r>
      <w:r w:rsidRPr="009F24CF">
        <w:rPr>
          <w:rFonts w:ascii="Calibri" w:hAnsi="Calibri" w:cs="Calibri"/>
          <w:sz w:val="22"/>
          <w:szCs w:val="22"/>
        </w:rPr>
        <w:t>’,</w:t>
      </w:r>
      <w:r w:rsidRPr="009F24CF">
        <w:rPr>
          <w:rFonts w:ascii="Calibri" w:hAnsi="Calibri" w:cs="Calibri"/>
          <w:sz w:val="22"/>
          <w:szCs w:val="22"/>
        </w:rPr>
        <w:t xml:space="preserve"> </w:t>
      </w:r>
      <w:r w:rsidRPr="009F24CF">
        <w:rPr>
          <w:rFonts w:ascii="Calibri" w:hAnsi="Calibri" w:cs="Calibri"/>
          <w:i/>
          <w:iCs/>
          <w:sz w:val="22"/>
          <w:szCs w:val="22"/>
        </w:rPr>
        <w:t>Journal of Applied Philosophy</w:t>
      </w:r>
      <w:r w:rsidRPr="009F24CF">
        <w:rPr>
          <w:rFonts w:ascii="Calibri" w:hAnsi="Calibri" w:cs="Calibri"/>
          <w:sz w:val="22"/>
          <w:szCs w:val="22"/>
        </w:rPr>
        <w:t xml:space="preserve"> </w:t>
      </w:r>
      <w:r w:rsidRPr="009F24CF">
        <w:rPr>
          <w:rFonts w:ascii="Calibri" w:hAnsi="Calibri" w:cs="Calibri"/>
          <w:i/>
          <w:iCs/>
          <w:sz w:val="22"/>
          <w:szCs w:val="22"/>
        </w:rPr>
        <w:t>3</w:t>
      </w:r>
      <w:r w:rsidRPr="009F24CF">
        <w:rPr>
          <w:rFonts w:ascii="Calibri" w:hAnsi="Calibri" w:cs="Calibri"/>
          <w:sz w:val="22"/>
          <w:szCs w:val="22"/>
        </w:rPr>
        <w:t xml:space="preserve">(2): 172–9 0. </w:t>
      </w:r>
    </w:p>
    <w:p w14:paraId="3FDCE88B" w14:textId="77777777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color w:val="3F3F3F"/>
          <w:spacing w:val="5"/>
          <w:sz w:val="22"/>
          <w:szCs w:val="22"/>
        </w:rPr>
      </w:pPr>
      <w:r w:rsidRPr="009F24CF">
        <w:rPr>
          <w:rFonts w:ascii="Calibri" w:hAnsi="Calibri" w:cs="Calibri"/>
          <w:sz w:val="22"/>
          <w:szCs w:val="22"/>
        </w:rPr>
        <w:t xml:space="preserve">Kidd, Ian James, José Medina, and Gaile Jr Pohlhaus, eds. </w:t>
      </w:r>
      <w:r w:rsidRPr="009F24CF">
        <w:rPr>
          <w:rFonts w:ascii="Calibri" w:hAnsi="Calibri" w:cs="Calibri"/>
          <w:sz w:val="22"/>
          <w:szCs w:val="22"/>
        </w:rPr>
        <w:t>(</w:t>
      </w:r>
      <w:r w:rsidRPr="009F24CF">
        <w:rPr>
          <w:rFonts w:ascii="Calibri" w:hAnsi="Calibri" w:cs="Calibri"/>
          <w:sz w:val="22"/>
          <w:szCs w:val="22"/>
        </w:rPr>
        <w:t>2017</w:t>
      </w:r>
      <w:r w:rsidRPr="009F24CF">
        <w:rPr>
          <w:rFonts w:ascii="Calibri" w:hAnsi="Calibri" w:cs="Calibri"/>
          <w:sz w:val="22"/>
          <w:szCs w:val="22"/>
        </w:rPr>
        <w:t>)</w:t>
      </w:r>
      <w:r w:rsidRPr="009F24CF">
        <w:rPr>
          <w:rFonts w:ascii="Calibri" w:hAnsi="Calibri" w:cs="Calibri"/>
          <w:sz w:val="22"/>
          <w:szCs w:val="22"/>
        </w:rPr>
        <w:t xml:space="preserve"> </w:t>
      </w:r>
      <w:r w:rsidRPr="009F24CF">
        <w:rPr>
          <w:rFonts w:ascii="Calibri" w:hAnsi="Calibri" w:cs="Calibri"/>
          <w:i/>
          <w:iCs/>
          <w:sz w:val="22"/>
          <w:szCs w:val="22"/>
        </w:rPr>
        <w:t>The Routledge Handbook to Epistemic Injustice</w:t>
      </w:r>
      <w:r w:rsidRPr="009F24CF">
        <w:rPr>
          <w:rFonts w:ascii="Calibri" w:hAnsi="Calibri" w:cs="Calibri"/>
          <w:sz w:val="22"/>
          <w:szCs w:val="22"/>
        </w:rPr>
        <w:t xml:space="preserve"> (</w:t>
      </w:r>
      <w:r w:rsidRPr="009F24CF">
        <w:rPr>
          <w:rFonts w:ascii="Calibri" w:hAnsi="Calibri" w:cs="Calibri"/>
          <w:sz w:val="22"/>
          <w:szCs w:val="22"/>
        </w:rPr>
        <w:t>New York: Routledge</w:t>
      </w:r>
      <w:r w:rsidRPr="009F24CF">
        <w:rPr>
          <w:rFonts w:ascii="Calibri" w:hAnsi="Calibri" w:cs="Calibri"/>
          <w:sz w:val="22"/>
          <w:szCs w:val="22"/>
        </w:rPr>
        <w:t>).</w:t>
      </w:r>
    </w:p>
    <w:p w14:paraId="030B00FB" w14:textId="4E341A2C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eastAsia="Times New Roman" w:hAnsi="Calibri" w:cs="Calibri"/>
          <w:color w:val="343332"/>
          <w:spacing w:val="-5"/>
          <w:kern w:val="0"/>
          <w:sz w:val="22"/>
          <w:szCs w:val="22"/>
          <w:lang w:eastAsia="en-GB"/>
          <w14:ligatures w14:val="none"/>
        </w:rPr>
      </w:pP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Mason, Rebecca (2011) ‘Two Kinds of Unknowing’, </w:t>
      </w:r>
      <w:r w:rsidRPr="009F24CF">
        <w:rPr>
          <w:rFonts w:ascii="Calibri" w:hAnsi="Calibri" w:cs="Calibri"/>
          <w:i/>
          <w:iCs/>
          <w:color w:val="3F3F3F"/>
          <w:spacing w:val="5"/>
          <w:sz w:val="22"/>
          <w:szCs w:val="22"/>
        </w:rPr>
        <w:t>Hypatia</w:t>
      </w:r>
      <w:r w:rsidRPr="009F24CF">
        <w:rPr>
          <w:rFonts w:ascii="Calibri" w:hAnsi="Calibri" w:cs="Calibri"/>
          <w:color w:val="3F3F3F"/>
          <w:spacing w:val="5"/>
          <w:sz w:val="22"/>
          <w:szCs w:val="22"/>
        </w:rPr>
        <w:t xml:space="preserve"> 26.2:</w:t>
      </w:r>
      <w:r w:rsidRPr="009F24CF">
        <w:rPr>
          <w:rFonts w:ascii="Calibri" w:eastAsia="Times New Roman" w:hAnsi="Calibri" w:cs="Calibri"/>
          <w:color w:val="343332"/>
          <w:spacing w:val="-5"/>
          <w:kern w:val="0"/>
          <w:sz w:val="22"/>
          <w:szCs w:val="22"/>
          <w:lang w:eastAsia="en-GB"/>
          <w14:ligatures w14:val="none"/>
        </w:rPr>
        <w:t xml:space="preserve"> 294-307</w:t>
      </w:r>
      <w:r w:rsidRPr="009F24CF">
        <w:rPr>
          <w:rFonts w:ascii="Calibri" w:eastAsia="Times New Roman" w:hAnsi="Calibri" w:cs="Calibri"/>
          <w:color w:val="343332"/>
          <w:spacing w:val="-5"/>
          <w:kern w:val="0"/>
          <w:sz w:val="22"/>
          <w:szCs w:val="22"/>
          <w:lang w:eastAsia="en-GB"/>
          <w14:ligatures w14:val="none"/>
        </w:rPr>
        <w:t>.</w:t>
      </w:r>
    </w:p>
    <w:p w14:paraId="4B3743A7" w14:textId="77777777" w:rsid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eastAsia="Times New Roman" w:hAnsi="Calibri" w:cs="Calibri"/>
          <w:color w:val="343332"/>
          <w:spacing w:val="-5"/>
          <w:kern w:val="0"/>
          <w:lang w:eastAsia="en-GB"/>
          <w14:ligatures w14:val="none"/>
        </w:rPr>
      </w:pPr>
    </w:p>
    <w:p w14:paraId="70C93334" w14:textId="2A1D9309" w:rsidR="009F24CF" w:rsidRPr="009F24CF" w:rsidRDefault="009F24CF" w:rsidP="009F24CF">
      <w:pPr>
        <w:tabs>
          <w:tab w:val="left" w:pos="2292"/>
        </w:tabs>
        <w:spacing w:line="360" w:lineRule="auto"/>
        <w:ind w:left="284" w:hanging="283"/>
        <w:rPr>
          <w:rFonts w:ascii="Calibri" w:hAnsi="Calibri" w:cs="Calibri"/>
          <w:color w:val="3F3F3F"/>
          <w:spacing w:val="5"/>
        </w:rPr>
      </w:pPr>
      <w:r>
        <w:rPr>
          <w:rFonts w:ascii="Calibri" w:eastAsia="Times New Roman" w:hAnsi="Calibri" w:cs="Calibri"/>
          <w:color w:val="343332"/>
          <w:spacing w:val="-5"/>
          <w:kern w:val="0"/>
          <w:lang w:eastAsia="en-GB"/>
          <w14:ligatures w14:val="none"/>
        </w:rPr>
        <w:t>Here is an online bibliography of work on epistemic injustice, illness, healthcare, and disability:</w:t>
      </w:r>
    </w:p>
    <w:p w14:paraId="29541D20" w14:textId="77777777" w:rsidR="009F24CF" w:rsidRDefault="009F24CF" w:rsidP="00F4708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37A5C18" wp14:editId="2AFBB8E4">
            <wp:extent cx="1448410" cy="1448410"/>
            <wp:effectExtent l="0" t="0" r="0" b="0"/>
            <wp:docPr id="1898707925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07925" name="Picture 1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82" cy="146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47AF6" w14:textId="77777777" w:rsidR="009F24CF" w:rsidRDefault="009F24CF" w:rsidP="00F4708B">
      <w:pPr>
        <w:spacing w:line="360" w:lineRule="auto"/>
        <w:rPr>
          <w:rFonts w:ascii="Calibri" w:hAnsi="Calibri" w:cs="Calibri"/>
        </w:rPr>
      </w:pPr>
    </w:p>
    <w:p w14:paraId="02AECEF8" w14:textId="2F0C8835" w:rsidR="009F24CF" w:rsidRDefault="009F24CF" w:rsidP="00F4708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Here is information on Project EPIC (Epistemic Injustice in Healthcare):</w:t>
      </w:r>
    </w:p>
    <w:p w14:paraId="1A67682C" w14:textId="470E17AB" w:rsidR="009F24CF" w:rsidRPr="00F4708B" w:rsidRDefault="009F24CF" w:rsidP="00F4708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8FCD99E" wp14:editId="28E21EC4">
            <wp:extent cx="1447825" cy="1447825"/>
            <wp:effectExtent l="0" t="0" r="0" b="0"/>
            <wp:docPr id="1902345001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345001" name="Picture 2" descr="A qr code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64" cy="14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CF" w:rsidRPr="00F4708B" w:rsidSect="00C06E4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1659" w14:textId="77777777" w:rsidR="00E8369E" w:rsidRDefault="00E8369E" w:rsidP="000941AF">
      <w:r>
        <w:separator/>
      </w:r>
    </w:p>
  </w:endnote>
  <w:endnote w:type="continuationSeparator" w:id="0">
    <w:p w14:paraId="4BE557B2" w14:textId="77777777" w:rsidR="00E8369E" w:rsidRDefault="00E8369E" w:rsidP="000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F01B" w14:textId="77777777" w:rsidR="00E8369E" w:rsidRDefault="00E8369E" w:rsidP="000941AF">
      <w:r>
        <w:separator/>
      </w:r>
    </w:p>
  </w:footnote>
  <w:footnote w:type="continuationSeparator" w:id="0">
    <w:p w14:paraId="3CC0EC7F" w14:textId="77777777" w:rsidR="00E8369E" w:rsidRDefault="00E8369E" w:rsidP="0009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F60" w14:textId="5A5E00F2" w:rsidR="000941AF" w:rsidRPr="000941AF" w:rsidRDefault="000941AF">
    <w:pPr>
      <w:pStyle w:val="Header"/>
      <w:rPr>
        <w:rFonts w:ascii="Calibri" w:hAnsi="Calibri" w:cs="Calibri"/>
        <w:sz w:val="20"/>
        <w:szCs w:val="20"/>
      </w:rPr>
    </w:pPr>
    <w:r w:rsidRPr="000941AF">
      <w:rPr>
        <w:rFonts w:ascii="Calibri" w:hAnsi="Calibri" w:cs="Calibri"/>
        <w:sz w:val="20"/>
        <w:szCs w:val="20"/>
      </w:rPr>
      <w:t>Ian James Kidd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0941AF">
      <w:rPr>
        <w:rFonts w:ascii="Calibri" w:hAnsi="Calibri" w:cs="Calibri"/>
        <w:sz w:val="20"/>
        <w:szCs w:val="20"/>
      </w:rPr>
      <w:t>University of Nottingham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F94"/>
    <w:multiLevelType w:val="hybridMultilevel"/>
    <w:tmpl w:val="EF2C1422"/>
    <w:lvl w:ilvl="0" w:tplc="D4729BF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744B"/>
    <w:multiLevelType w:val="hybridMultilevel"/>
    <w:tmpl w:val="85489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113B7"/>
    <w:multiLevelType w:val="hybridMultilevel"/>
    <w:tmpl w:val="2B305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35268F"/>
    <w:multiLevelType w:val="hybridMultilevel"/>
    <w:tmpl w:val="FC0E66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D3860"/>
    <w:multiLevelType w:val="hybridMultilevel"/>
    <w:tmpl w:val="F90A7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6437">
    <w:abstractNumId w:val="4"/>
  </w:num>
  <w:num w:numId="2" w16cid:durableId="1094673030">
    <w:abstractNumId w:val="0"/>
  </w:num>
  <w:num w:numId="3" w16cid:durableId="2019572702">
    <w:abstractNumId w:val="1"/>
  </w:num>
  <w:num w:numId="4" w16cid:durableId="358354629">
    <w:abstractNumId w:val="3"/>
  </w:num>
  <w:num w:numId="5" w16cid:durableId="80577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8B"/>
    <w:rsid w:val="0000480B"/>
    <w:rsid w:val="000941AF"/>
    <w:rsid w:val="000B3D6E"/>
    <w:rsid w:val="00240E02"/>
    <w:rsid w:val="0026528C"/>
    <w:rsid w:val="00323206"/>
    <w:rsid w:val="003A3517"/>
    <w:rsid w:val="003B7C84"/>
    <w:rsid w:val="00496108"/>
    <w:rsid w:val="004E2BD6"/>
    <w:rsid w:val="00604B63"/>
    <w:rsid w:val="0064141F"/>
    <w:rsid w:val="007571B2"/>
    <w:rsid w:val="00941F3C"/>
    <w:rsid w:val="0099128D"/>
    <w:rsid w:val="00992EF8"/>
    <w:rsid w:val="009E28EA"/>
    <w:rsid w:val="009F24CF"/>
    <w:rsid w:val="00A04CF2"/>
    <w:rsid w:val="00A569E9"/>
    <w:rsid w:val="00A704AE"/>
    <w:rsid w:val="00B2229E"/>
    <w:rsid w:val="00B64F69"/>
    <w:rsid w:val="00BD727E"/>
    <w:rsid w:val="00BF1E05"/>
    <w:rsid w:val="00C06E45"/>
    <w:rsid w:val="00DC05AE"/>
    <w:rsid w:val="00E234B1"/>
    <w:rsid w:val="00E7044C"/>
    <w:rsid w:val="00E8369E"/>
    <w:rsid w:val="00F4708B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0D1AF"/>
  <w14:defaultImageDpi w14:val="32767"/>
  <w15:chartTrackingRefBased/>
  <w15:docId w15:val="{E0BA24F7-5B62-7948-8C1E-BE99689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0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0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0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0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0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0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0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0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0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0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0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0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0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0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0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08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08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0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0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0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0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08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571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9F24CF"/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F24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24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24CF"/>
    <w:rPr>
      <w:i/>
      <w:iCs/>
    </w:rPr>
  </w:style>
  <w:style w:type="character" w:customStyle="1" w:styleId="src">
    <w:name w:val="src"/>
    <w:basedOn w:val="DefaultParagraphFont"/>
    <w:rsid w:val="009F24CF"/>
  </w:style>
  <w:style w:type="paragraph" w:styleId="Header">
    <w:name w:val="header"/>
    <w:basedOn w:val="Normal"/>
    <w:link w:val="HeaderChar"/>
    <w:uiPriority w:val="99"/>
    <w:unhideWhenUsed/>
    <w:rsid w:val="0009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AF"/>
  </w:style>
  <w:style w:type="paragraph" w:styleId="Footer">
    <w:name w:val="footer"/>
    <w:basedOn w:val="Normal"/>
    <w:link w:val="FooterChar"/>
    <w:uiPriority w:val="99"/>
    <w:unhideWhenUsed/>
    <w:rsid w:val="0009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25</cp:revision>
  <dcterms:created xsi:type="dcterms:W3CDTF">2024-04-29T16:59:00Z</dcterms:created>
  <dcterms:modified xsi:type="dcterms:W3CDTF">2024-04-30T09:11:00Z</dcterms:modified>
</cp:coreProperties>
</file>